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7B_221/2025 vom 20. Mai 2025</w:t>
      </w:r>
    </w:p>
    <w:p>
      <w:r>
        <w:t>Bundesgericht, 2025-05-20, DE</w:t>
      </w:r>
    </w:p>
    <w:p>
      <w:r>
        <w:rPr>
          <w:b/>
        </w:rPr>
        <w:t xml:space="preserve">Quelle: </w:t>
      </w:r>
      <w:r>
        <w:t>https://mcp.opencaselaw.ch/entscheid/bger_7B_221_2025</w:t>
      </w:r>
    </w:p>
    <w:p>
      <w:r>
        <w:t>FR: TF 7B_221/2025 du 20 mai 2025</w:t>
      </w:r>
    </w:p>
    <w:p>
      <w:r>
        <w:t>IT: TF 7B_221/2025 del 20 maggio 2025</w:t>
      </w:r>
    </w:p>
    <w:p>
      <w:pPr>
        <w:pStyle w:val="Heading2"/>
      </w:pPr>
      <w:r>
        <w:t>Erwägungen</w:t>
      </w:r>
    </w:p>
    <w:p>
      <w:r>
        <w:rPr>
          <w:b/>
        </w:rPr>
        <w:t>E. 1</w:t>
      </w:r>
    </w:p>
    <w:p>
      <w:r>
        <w:t>Am 5. Dezember 2024 nahm die Staatsanwaltschaft Winterthur/Unterland eine Strafuntersuchung gegen eine unbekannte Täterschaft betreffend üble Nachrede etc. nicht an Hand. Dagegen erhob der Beschwerdeführer am 16. Dezember 2024 Beschwerde beim Obergericht des Kantons Zürich, welches mit Verfügung vom 3. März 2025 nicht darauf eintrat. Mit Beschwerde in Strafsachen vom 8. März 2025 (Postaufgabe) wendet sich der Beschwerdeführer ans Bundesgericht.</w:t>
      </w:r>
    </w:p>
    <w:p>
      <w:r>
        <w:rPr>
          <w:b/>
        </w:rPr>
        <w:t>E. 2</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2.3.5; 147 IV 73 E. 4.1.2; je mit Hinweisen). Die Privatklägerschaft ist zur Beschwerde in Strafsachen nur berechtigt, wenn der angefochtene Entscheid sich auf die Beurteilung ihrer Zivilansprüche auswirken kann (Art. 81 Abs. 1 lit. b Ziff. 5 BGG). Die Rechtsprechung stellt strenge Anforderungen an die Begründung der Legitimation, insbesondere wenn sich die Beschwerde - wie vorliegend - gegen die Nichtanhandnahme oder Einstellung eines Verfahrens richtet (ausführlich hierzu: Urteile 7B_1201/2024 vom 22. Januar 2025 E. 1.2; 7B_182/2024 vom 26. März 2024 E. 2.1.2; 7B_18/2024 vom 14. März 2024 E. 2; je mit Hinweisen).</w:t>
      </w:r>
    </w:p>
    <w:p>
      <w:r>
        <w:rPr>
          <w:b/>
        </w:rPr>
        <w:t>E. 3</w:t>
      </w:r>
    </w:p>
    <w:p>
      <w:r>
        <w:t>Die Beschwerde geht zudem mit keinem Wort auf die Beschwerdelegitimation des Beschwerdeführers bzw. einen diesem allenfalls zustehenden Zivilanspruch im Sinne von Art. 81 Abs. 1 lit. b Ziff. 5 BGG ein. Bereits damit kommt die Beschwerde den Begründungsanforderungen offensichtlich nicht nach. Unbesehen davon begründet der Beschwerdeführer nicht, weshalb die angefochtene Verfügung in tatsächlicher oder rechtlicher Hinsicht fehlerhaft sein sollte. Die Vorinstanz war nicht auf seine Beschwerde eingetreten, da er innert angesetzter Frist weder die geforderte Sicherheit geleistet noch die unentgeltliche Rechtspflege beantragt hatte. Damit setzt sich die Beschwerde nicht auseinander, sondern nimmt die angefochtene Verfügung lediglich zum Anlass für anderweitige Ausführungen. Auch diesbezüglich wird die Beschwerde den Begründungsanforderungen offensichtlich nicht gerecht.</w:t>
      </w:r>
    </w:p>
    <w:p>
      <w:r>
        <w:rPr>
          <w:b/>
        </w:rPr>
        <w:t>E. 4</w:t>
      </w:r>
    </w:p>
    <w:p>
      <w:r>
        <w:t>Formelle Rügen, zu deren Geltendmachung der Beschwerdeführer unbesehen von der fehlenden Legitimation in der Sache befugt wäre (sog. "Star-Praxis"; vgl. BGE 141 IV 1 E. 1.1), erhebt er nicht.</w:t>
      </w:r>
    </w:p>
    <w:p>
      <w:r>
        <w:rPr>
          <w:b/>
        </w:rPr>
        <w:t>E. 5</w:t>
      </w:r>
    </w:p>
    <w:p>
      <w:r>
        <w:t>Auf die Beschwerde ist im Verfahren nach Art. 108 BGG nicht einzutreten. Die Gerichtskosten sind dem Beschwerdeführer aufzuerlegen ( Art. 66 Abs. 1 BGG ). Das Gesuch um unentgeltliche Rechtspflege ist wegen offensichtlicher Aussichtslosigkeit der Begehren abzuweisen ( Art. 64 Abs. 1 BGG ).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