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7B_221/2024 vom 22. Mai 2024</w:t>
      </w:r>
    </w:p>
    <w:p>
      <w:r>
        <w:t>Bundesgericht, 2024-05-22, DE</w:t>
      </w:r>
    </w:p>
    <w:p>
      <w:r>
        <w:rPr>
          <w:b/>
        </w:rPr>
        <w:t xml:space="preserve">Quelle: </w:t>
      </w:r>
      <w:r>
        <w:t>https://mcp.opencaselaw.ch/entscheid/bger_7B_221_2024</w:t>
      </w:r>
    </w:p>
    <w:p>
      <w:r>
        <w:t>FR: TF 7B_221/2024 du 22 mai 2024</w:t>
      </w:r>
    </w:p>
    <w:p>
      <w:r>
        <w:t>IT: TF 7B_221/2024 del 22 maggio 2024</w:t>
      </w:r>
    </w:p>
    <w:p>
      <w:pPr>
        <w:pStyle w:val="Heading2"/>
      </w:pPr>
      <w:r>
        <w:t>Erwägungen</w:t>
      </w:r>
    </w:p>
    <w:p>
      <w:r>
        <w:rPr>
          <w:b/>
        </w:rPr>
        <w:t>E. 1</w:t>
      </w:r>
    </w:p>
    <w:p>
      <w:r>
        <w:t>Beim Bezirksgericht Luzern ist ein Strafverfahren gegen A.________ wegen mehrfacher übler Nachrede gegenüber der B.________ GmbH hängig. Mit Gesuch vom 11. November 2023 verlangte A.________ den Ausstand von Bezirksrichterin Esther Tewlin. Mit Verfügung vom 23. Januar 2024 trat das Kantonsgericht Luzern auf das Ausstandsgesuch nicht ein. Zur Begründung führt es im Wesentlichen aus, die Ausführungen von A.________ genügten nicht, um einen Ausstandsgrund im Sinne von Art. 56 StPO glaubhaft zu machen. Der blosse Hinweis auf den Umstand, das Bezirksrichterin Esther Tewlin und die zuständige Staatsanwältin derselben politischen Partei angehörten, begründe nach der bundesgerichtlichen Rechtsprechung für sich allein keinen tauglichen Ausstandsgrund. Das Ausstandsgesuch genüge daher den Begründungsanforderungen offensichtlich nicht.</w:t>
      </w:r>
    </w:p>
    <w:p>
      <w:r>
        <w:rPr>
          <w:b/>
        </w:rPr>
        <w:t>E. 2</w:t>
      </w:r>
    </w:p>
    <w:p>
      <w:r>
        <w:t>Mit Beschwerde in Strafsachen an das Bundesgericht vom 20. Februar 2024 beantragt A.________, die Verfügung des Kantonsgerichts vom 23. Januar 2024 sei aufzuheben und Bezirksrichterin Esther Tewlin in den Ausstand zu versetzen. In prozessualer Hinsicht ersucht er sinngemäss um die Gewährung der unentgeltlichen Rechtspflege. Mit einer beim Bundesgericht am 10. Mai 2024 eingegangenen, undatierten und unkommentierten Eingabe hat der Beschwerdeführer zudem diverse Unterlagen eingereicht.</w:t>
      </w:r>
    </w:p>
    <w:p>
      <w:r>
        <w:t>Es wurden keine Vernehmlassungen eingeholt.</w:t>
      </w:r>
    </w:p>
    <w:p>
      <w:r>
        <w:rPr>
          <w:b/>
        </w:rPr>
        <w:t>E. 3</w:t>
      </w:r>
    </w:p>
    <w:p>
      <w:r>
        <w:t>Die beim Bundesgericht am 10. Mai 2024 kommentarlos eingereichten Unterlagen gingen nach Ablauf der Rechtsmittelfrist von 30 Tagen ein ( Art. 100 Abs. 1 BGG ). Sie sind für das vorliegende Verfahren deshalb unbeachtlich und betreffen zudem - soweit ersichtlich - ein strassenverkehrsrechtliches Administrativverfahren aus dem Jahr 2020, welches in keinem erkennbaren Sachzusammenhang zum vorliegenden Beschwerdeverfahren zu stehen scheint.</w:t>
      </w:r>
    </w:p>
    <w:p>
      <w:r>
        <w:rPr>
          <w:b/>
        </w:rPr>
        <w:t>E. 4</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5</w:t>
      </w:r>
    </w:p>
    <w:p>
      <w:r>
        <w:t>Der Beschwerdeführer setzt sich nicht mit der Begründung der Vorinstanz auseinander, sondern kritisiert in abstrakter und allgemeiner Weise den Umstand, dass die Ausübung eines Richteramts in der Schweiz grundsätzlich an die Zugehörigkeit zu einer politischen Partei geknüpft sei. Mit solcher pauschaler appellatorischer Kritik ohne Bezugnahme zur Argumentation der Vorinstanz vermag er von vornherein nicht konkret aufzuzeigen, inwiefern deren Begründung, die zum Nichteintreten auf sein Ausstandsgesuch geführt hat, rechts- bzw. verfassungswidrig sein soll. Die Beschwerde genügt den vorgenannten gesetzlichen Formerfordernissen daher offensichtlich nicht, weshalb auf sie im vereinfachten Verfahren nach Art. 108 Abs. 1 lit. b BGG nicht einzutreten ist. Das Gesuch des Beschwerdeführers um unentgeltliche Rechtspflege ist wegen Aussichtslosigkeit abzuweisen ( Art. 64 Abs. 1 BGG ). Damit wird er kostenpflichtig ( Art. 66 Abs. 1 BGG ). Seiner angespannten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