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220/2024 vom 26. Februar 2024</w:t>
      </w:r>
    </w:p>
    <w:p>
      <w:r>
        <w:t>Bundesgericht, 2024-02-26, FR</w:t>
      </w:r>
    </w:p>
    <w:p>
      <w:r>
        <w:rPr>
          <w:b/>
        </w:rPr>
        <w:t xml:space="preserve">Quelle: </w:t>
      </w:r>
      <w:r>
        <w:t>https://mcp.opencaselaw.ch/entscheid/bger_7B_220_2024</w:t>
      </w:r>
    </w:p>
    <w:p>
      <w:r>
        <w:t>FR: TF 7B 220/2024 du 26 février 2024</w:t>
      </w:r>
    </w:p>
    <w:p>
      <w:r>
        <w:t>IT: TF 7B 220/2024 del 26 febbraio 2024</w:t>
      </w:r>
    </w:p>
    <w:p>
      <w:pPr>
        <w:pStyle w:val="Heading2"/>
      </w:pPr>
      <w:r>
        <w:t>Regeste</w:t>
      </w:r>
    </w:p>
    <w:p>
      <w:r>
        <w:t>Refus de lever des mesures de substitution (recours manifestement irrecevable),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7B_718/2023 du 21 novembre 2023 consid. 4.1). On peut aussi attendre des profanes qu'ils répondent concrètement à la motivation de l'instance précédente (arrêts 7B_397/2023 du 5 décembre 2023 consid. 2.2; 6B_879/2021 du 5 octobre 2022 consid. 5.1 et les références citées).</w:t>
      </w:r>
    </w:p>
    <w:p>
      <w:r>
        <w:rPr>
          <w:b/>
        </w:rPr>
        <w:t>E. 1.2</w:t>
      </w:r>
    </w:p>
    <w:p>
      <w:r>
        <w:t>En l'espèce, la Chambre pénale de recours a estimé que l'interdiction visant la recourante, telle que formulée dans l'ordonnance du TMC du 5 janvier 2024, était clairement circonscrite aux faits de la cause. Au surplus, en tant que cette interdiction ne concernait que les personnes qui présentaient un lien avec les procédures dirigées contre la recourante, elle n'empêchait nullement cette dernière de faire connaître ses idées politiques, de sorte que la mesure de substitution ne violait pas la garantie décrite à l' art. 34 Cst. (cf. arrêt attaqué, p. 5).</w:t>
      </w:r>
    </w:p>
    <w:p>
      <w:r>
        <w:rPr>
          <w:b/>
        </w:rPr>
        <w:t>E. 1.3</w:t>
      </w:r>
    </w:p>
    <w:p>
      <w:r>
        <w:t>En tant que, par son recours en matière pénale, la recourante entend obtenir la levée des mesures de substitution la visant, dès lors que selon elle celles-ci violeraient ses droits politiques, elle se borne toutefois pour l'essentiel à reprendre, mot pour mot, certains passages de la motivation qu'elle avait présentée dans l'acte de recours déposé le 23 octobre 2023 dans la cause 7B_813/2023. Aussi, alors que, dans l'arrêt 7B_813/2023 du 9 novembre 2023, le Tribunal fédéral a certes admis que, par son caractère absolu, l'interdiction formulée dans l'ordonnance du TMC du 4 juillet 2023 contrevenait au principe de la proportionnalité (cf. art. 36 al. 3 Cst. ; art. 197 al. 1 let . c CPP; cf. arrêt 7B_813/2023 précité consid. 3.2.4), la recourante s'abstient de tout développement propre à démontrer qu'il en irait de même s'agissant de l'interdiction contenue dans l'ordonnance du TMC du 5 janvier 2024, dont elle ne discute nullement la teneur, s'abstenant même d'en faire mention. A l'évidence, une telle motivation n'est pas conforme aux exigences décrites à l' art. 42 al. 1 LTF .</w:t>
      </w:r>
    </w:p>
    <w:p>
      <w:r>
        <w:rPr>
          <w:b/>
        </w:rPr>
        <w:t>E. 2</w:t>
      </w:r>
    </w:p>
    <w:p>
      <w:r>
        <w:t>Le recours apparaît dès lors manifestement irrecevable, ce qu'il convient de constater dans la procédure simplifiée prévue par l' art. 108 al. 1 let. a et b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références citées). L'irrecevabilité du recours rend au surplus sans objet la demande de mesures provisionnelles.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