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21/2024 vom 30. Januar 2024</w:t>
      </w:r>
    </w:p>
    <w:p>
      <w:r>
        <w:t>Bundesgericht, 2024-01-30, FR</w:t>
      </w:r>
    </w:p>
    <w:p>
      <w:r>
        <w:rPr>
          <w:b/>
        </w:rPr>
        <w:t xml:space="preserve">Quelle: </w:t>
      </w:r>
      <w:r>
        <w:t>https://mcp.opencaselaw.ch/entscheid/bger_7B_21_2024</w:t>
      </w:r>
    </w:p>
    <w:p>
      <w:r>
        <w:t>FR: TF 7B 21/2024 du 30 janvier 2024</w:t>
      </w:r>
    </w:p>
    <w:p>
      <w:r>
        <w:t>IT: TF 7B 21/2024 del 30 gennaio 2024</w:t>
      </w:r>
    </w:p>
    <w:p>
      <w:pPr>
        <w:pStyle w:val="Heading2"/>
      </w:pPr>
      <w:r>
        <w:t>Regeste</w:t>
      </w:r>
    </w:p>
    <w:p>
      <w:r>
        <w:t>Ordonnance de classement; irrecevabilité du recours en matière pénale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les recourants soutiennent, en substance, que la prise en charge de leur fille dans le cadre de l'hôpital de U.________ aurait contrevenu au devoir de prudence incombant au personnel médical. La plainte des recourants, si elle a été déposée contre "toute personne que l'enquête pourrait révéler comme responsable du décès de leur fille" (cf. arrêt attaqué, let. A.b, p. 4), concerne toutefois bien le personnel médical de l'hôpital de U.________ et en particulier les médecins en charge de leur fille, à l'adresse desquels les recourants élèvent des reproches dans le cadre de la prise en charge auprès de cet hôpital.</w:t>
      </w:r>
    </w:p>
    <w:p>
      <w:r>
        <w:rPr>
          <w:b/>
        </w:rPr>
        <w:t>E. 1.3</w:t>
      </w:r>
    </w:p>
    <w:p>
      <w:r>
        <w:t>Selon la jurisprudence, les soins dispensés aux malades dans les hôpitaux publics ne se rattachent pas à l'exercice d'une industrie au sens de l' art. 61 al. 2 CO , mais relèvent de l'exécution d'une tâche publique. En vertu de la réserve facultative prévue à l' art. 61 al. 1 CO , les cantons sont libres de soumettre au droit public cantonal la responsabilité des médecins et autres membres du personnel d'un hôpital public pour le dommage ou le tort moral qu'ils causent dans l'exercice de leur charge ( ATF 133 III 462 consid. 2.1; 122 III 101 consid. 2a/aa; arrêts 6B_1019/2020 du 23 septembre 2021; 6B_341/2021 du 20 juillet 2021 consid. 3.3). Le canton de Vaud a fait usage de cette possibilité. En effet, les art. 4 et 5 de la loi vaudoise du 16 mai 1961 sur la responsabilité de l'État, des communes et de leurs agents (LRECA; BLV 170.11) prévoient que l'État et les corporations communales répondent du dommage que leurs agents causent à des tiers d'une manière illicite et que l'agent n'est pas personnellement tenu envers le lésé de réparer le dommage. Selon l'art. 3 al. 1 ch. 9 LRECA/VD, cette loi est notamment applicable aux collaborateurs de l'État au sens de la loi vaudoise du 12 novembre 2001 sur le personnel de l'État de Vaud (LPers; BLV 172.31). En outre, l'art. 2 de la loi vaudoise du 16 novembre 1993 sur les Hospices cantonaux (LHC; BLV 810.11) prévoit que le CHUV est un service de l'État de Vaud et l'art. 3a de cette même loi dispose que le personnel du CHUV est soumis à la LPers/VD.</w:t>
      </w:r>
    </w:p>
    <w:p>
      <w:r>
        <w:rPr>
          <w:b/>
        </w:rPr>
        <w:t>E. 1.4</w:t>
      </w:r>
    </w:p>
    <w:p>
      <w:r>
        <w:t>En l'occurrence, il est constant que l'hôpital psychiatrique de U.________ fait partie du CHUV (arrêts 6B_1019/2020 précité consid. 1.2; 6B_1224/2018 du 19 décembre 2018 consid. 1.2; cf. art. 105 al. 2 LTF ). Les médecins et le personnel médical oeuvrant au sein de cet établissement ne sont donc, conformément à l'art. 5 LRECA/VD, pas tenus personnellement envers le lésé de réparer le dommage qu'ils pourraient causer dans l'exercice de leurs activités. Le canton de Vaud ayant fait usage de la faculté réservée à l' art. 61 al. 1 CO , les recourants ne disposeraient que d'une prétention de droit public à faire valoir non pas contre l'auteur présumé, mais contre l'État. Selon la jurisprudence constante, de telles prétentions ne peuvent pas être invoquées dans le procès pénal par voie d'adhésion et ne constituent donc pas des prétentions civiles au sens de l' art. 81 LTF ( ATF 146 IV 76 consid. 3.1; 138 IV 86 consid. 3.1). Cela exclut que les recourants, qui ne consacrent par ailleurs aucun développement à ces questions, puissent déduire leur qualité pour recourir de l'art. 81 al. 1 let. a et b ch. 5 LTF.</w:t>
      </w:r>
    </w:p>
    <w:p>
      <w:r>
        <w:rPr>
          <w:b/>
        </w:rPr>
        <w:t>E. 2.1</w:t>
      </w:r>
    </w:p>
    <w:p>
      <w:r>
        <w:t>Il n'apparaît pas non plus que les recourants invoquent la violation de garanties constitutionnelles ou conventionnelles (cf. art. 3 CEDH , 10 al. 3 Cst., 7 Pacte ONU II et Convention des Nations Unies contre la torture et autres peines ou traitements cruels, inhumains ou dégradants conclue à New York le 10 décembre 1984 [Convention contre la torture; RS 0.105]), dont ils pourraient tirer leur qualité pour recourir (cf. ATF 138 IV 86 consid. 3.3.1; cf. ég. arrêts 7B_10/2023 du 6 septembre 2023 consid. 1.3.1; 6B_1033/2022 du 22 mars 2023 consid. 1.4.1).</w:t>
      </w:r>
    </w:p>
    <w:p>
      <w:r>
        <w:rPr>
          <w:b/>
        </w:rPr>
        <w:t>E. 2.2</w:t>
      </w:r>
    </w:p>
    <w:p>
      <w:r>
        <w:t>L'hypothèse visée à l'art. 81 al. 1 let. b ch. 6 LTF n'entre pas en considération, dès lors que les recourants ne soulèvent aucun grief concernant spécifiquement leur droit de porter plainte.</w:t>
      </w:r>
    </w:p>
    <w:p>
      <w:r>
        <w:rPr>
          <w:b/>
        </w:rPr>
        <w:t>E. 2.3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 On ne discerne pas, dans l'écriture des recourants, de griefs correspondants, en rapport avec lesquels ils auraient qualité pour recourir. En effet, les intéressés s'en prennent à l'établissement des faits et invoquent une violation de leur droit d'être entendus en lien avec le refus d'administrer des preuves valablement offertes; ils ne font valoir, par là, aucun moyen distinct du fond.</w:t>
      </w:r>
    </w:p>
    <w:p>
      <w:r>
        <w:rPr>
          <w:b/>
        </w:rPr>
        <w:t>E. 2.4</w:t>
      </w:r>
    </w:p>
    <w:p>
      <w:r>
        <w:t>Pour le reste, les critiques que soulèvent les recourants en invoquant une violation des art. 318 et 319 CPP et le principe in dubio pro duriore ont trait au fond de la cause, qu'ils n'ont pas qualité pour discuter, comme relevé ci-dessus. Elles sont par conséquent irrecevables.</w:t>
      </w:r>
    </w:p>
    <w:p>
      <w:r>
        <w:rPr>
          <w:b/>
        </w:rPr>
        <w:t>E. 3</w:t>
      </w:r>
    </w:p>
    <w:p>
      <w:r>
        <w:t>L'irrecevabilité manifeste du recours doit dès lors être constatée dans la procédure prévue par l' art. 108 al. 1 let. a LTF . Les recourants, qui succombent, supporteront les frais judiciaires, solidairement entre eux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