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7B_217/2025 vom 14. April 2025</w:t>
      </w:r>
    </w:p>
    <w:p>
      <w:r>
        <w:t>Bundesgericht, 2025-04-14, DE</w:t>
      </w:r>
    </w:p>
    <w:p>
      <w:r>
        <w:rPr>
          <w:b/>
        </w:rPr>
        <w:t xml:space="preserve">Quelle: </w:t>
      </w:r>
      <w:r>
        <w:t>https://mcp.opencaselaw.ch/entscheid/bger_7B_217_2025</w:t>
      </w:r>
    </w:p>
    <w:p>
      <w:r>
        <w:t>FR: TF 7B_217/2025 du 14 avril 2025</w:t>
      </w:r>
    </w:p>
    <w:p>
      <w:r>
        <w:t>IT: TF 7B_217/2025 del 14 aprile 2025</w:t>
      </w:r>
    </w:p>
    <w:p>
      <w:pPr>
        <w:pStyle w:val="Heading2"/>
      </w:pPr>
      <w:r>
        <w:t>Erwägungen</w:t>
      </w:r>
    </w:p>
    <w:p>
      <w:r>
        <w:rPr>
          <w:b/>
        </w:rPr>
        <w:t>E. 1.1</w:t>
      </w:r>
    </w:p>
    <w:p>
      <w:r>
        <w:t>Das Bundesgericht prüft seine Zuständigkeit von Amtes wegen ( Art. 29 Abs. 1 BGG ) und beurteilt die Zulässigkeit der bei ihm erhobenen Beschwerden mit freier Kognition ( BGE 149 IV 9 E. 2; 149 IV 97 E. 1; 148 IV 275 E. 1.1; 146 IV 185 E. 2).</w:t>
      </w:r>
    </w:p>
    <w:p>
      <w:r>
        <w:rPr>
          <w:b/>
        </w:rPr>
        <w:t>E. 1.2</w:t>
      </w:r>
    </w:p>
    <w:p>
      <w:r>
        <w:t>Angefochten ist ein nach Art. 248a StPO kantonal letztinstanzlicher Entscheid eines Zwangsmassnahmengerichts. Dagegen steht gemäss Art. 80 Abs. 2 Satz 3 BGG die Beschwerde in Strafsachen an das Bundesgericht nach Art. 78 bis 81 BGG grundsätzlich offen.</w:t>
      </w:r>
    </w:p>
    <w:p>
      <w:r>
        <w:rPr>
          <w:b/>
        </w:rPr>
        <w:t>E. 1.3.1</w:t>
      </w:r>
    </w:p>
    <w:p>
      <w:r>
        <w:t>Der angefochtene Entsiegelungsentscheid schliesst die gegen den Beschwerdeführer geführte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150 IV 103 E. 1.2.1; 148 IV 155 E. 1.1; 144 IV 321 E. 2.3; je mit Hinweisen). Woraus sich der nicht wieder gutzumachende Nachteil ergeben soll, ist in der Beschwerdeschrift darzulegen, sofern es nicht offensichtlich ist ( BGE 150 III 248 E. 1.2; 149 II 170 E. 1.3; 144 III 475 E. 1.2; je mit Hinweisen).</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Urteil 7B_145/2025 vom 25. März 2025 E. 2.2, zur Publikation bestimmt, mit Hinweisen).</w:t>
      </w:r>
    </w:p>
    <w:p>
      <w:r>
        <w:rPr>
          <w:b/>
        </w:rPr>
        <w:t>E. 1.3.2</w:t>
      </w:r>
    </w:p>
    <w:p>
      <w:r>
        <w:t>Der Beschwerdeführer macht in seiner Beschwerdeschrift geltend, der sichergestellte Datenträger enthalte höchstpersönliche Daten über ihn und über seine Familie. Daher befänden sich auf dem sichergestellten Datenträger Daten, die seine verfassungsrechtlich geschützte Privatsphäre ( Art. 13 Abs. 1 BV ) tangierten. In der Stellungnahme vom 16. Januar 2025 habe er konkret darauf hingewiesen, dass sich auf seinem Mobiltelefon Bilder, Videos und Korrespondenz über seine Familie in der Türkei und seine Fluchtgeschichte befänden. Die Behauptung der Vorinstanz, er habe keine Privatgeheimnisse darlegen bzw. substanziieren können, treffe nicht zu. Im Übrigen würden auch Daten entsiegelt, die keine Verfahrensrelevanz hätten.</w:t>
      </w:r>
    </w:p>
    <w:p>
      <w:r>
        <w:t>Damit kann er keinen drohenden nicht wieder gutzumachenden Nachteil im Sinne von Art. 93 Abs. 1 lit. a BGG belegen:</w:t>
      </w:r>
    </w:p>
    <w:p>
      <w:r>
        <w:t>Zwar ist rechtsprechungsgemäss ohne Weiteres davon auszugehen, dass bei der (vollständigen) Durchsuchung von privat genutzten Smartphones persönliche Aufzeichnungen und Korrespondenz im Sinne von Art. 264 Abs. 1 lit. b StPO tangiert sind. Persönliche Aufzeichnungen und Korrespondenz der beschuldigten Person sind aber gerade nicht absolut geschützt, sondern laut dem Gesetz nur dann, wenn das Interesse am Schutz ihrer Persönlichkeit das Strafverfolgungsinteresse überwiegt. Auf eine Beschwerde gegen die Entsiegelung eines Mobiltelefons kann daher nur dann gestützt auf Art. 264 Abs. 1 lit. b StPO eingetreten werden, wenn die beschwerdeführende Partei dartut oder ohne Weiteres erkennbar ist, dass das Interesse am Schutz ihrer Persönlichkeit gegenüber dem Strafverfolgungsinteresse überwiegen könnte (Urteil 7B_145/2025 vom 25. März 2025 E. 2.7, zur Publikation bestimmt, mit Hinweisen).</w:t>
      </w:r>
    </w:p>
    <w:p>
      <w:r>
        <w:t>Dies ist hier nicht der Fall. Der Verdacht der versuchten vorsätzlichen Tötung wiegt sehr schwer, und es ist nicht erkennbar, dass das Interesse des beschuldigten Beschwerdeführers am Schutz seiner Persönlichkeit dem bedeutenden Strafverfolgungsinteresse vorgehen könnte. Die Staatsanwaltschaft hat sich bei der Durchsuchung des Mobiltelefons jedoch strikt auf die Suche nach verfahrensrelevanten Inhalten zu beschränken und darf bloss solche formell beschlagnahmen und zu den Verfahrensakten nehmen (siehe Urteil 7B_1146/2024 vom 8. April 2025 E. 2.5 mit Hinweisen).</w:t>
      </w:r>
    </w:p>
    <w:p>
      <w:r>
        <w:rPr>
          <w:b/>
        </w:rPr>
        <w:t>E. 1.3.3</w:t>
      </w:r>
    </w:p>
    <w:p>
      <w:r>
        <w:t>Nach dem Gesagten fehlt es an der Eintretensvoraussetzung von Art. 93 Abs. 1 lit. a BGG .</w:t>
      </w:r>
    </w:p>
    <w:p>
      <w:r>
        <w:rPr>
          <w:b/>
        </w:rPr>
        <w:t>E. 2</w:t>
      </w:r>
    </w:p>
    <w:p>
      <w:r>
        <w:t>Auf die Beschwerde ist nicht einzutreten.</w:t>
      </w:r>
    </w:p>
    <w:p>
      <w:r>
        <w:t>Das Gesuch des Beschwerdeführers um unentgeltliche Rechtspflege ist abzuweisen, da sich die Beschwerde als aussichtslos erweist ( Art. 64 Abs. 1 BGG ). Die Gerichtskosten sind dem unterliegenden Beschwerdeführer aufzuerlegen ( Art. 66 Abs. 1 BGG ). Dessen finanzieller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