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7B_210/2025 vom 8. Mai 2025</w:t>
      </w:r>
    </w:p>
    <w:p>
      <w:r>
        <w:t>Bundesgericht, 2025-05-08, DE</w:t>
      </w:r>
    </w:p>
    <w:p>
      <w:r>
        <w:rPr>
          <w:b/>
        </w:rPr>
        <w:t xml:space="preserve">Quelle: </w:t>
      </w:r>
      <w:r>
        <w:t>https://mcp.opencaselaw.ch/entscheid/bger_7B_210_2025</w:t>
      </w:r>
    </w:p>
    <w:p>
      <w:r>
        <w:t>FR: TF 7B_210/2025 du 8 mai 2025</w:t>
      </w:r>
    </w:p>
    <w:p>
      <w:r>
        <w:t>IT: TF 7B_210/2025 del 8 maggio 2025</w:t>
      </w:r>
    </w:p>
    <w:p>
      <w:pPr>
        <w:pStyle w:val="Heading2"/>
      </w:pPr>
      <w:r>
        <w:t>Erwägungen</w:t>
      </w:r>
    </w:p>
    <w:p>
      <w:r>
        <w:rPr>
          <w:b/>
        </w:rPr>
        <w:t>E. 1</w:t>
      </w:r>
    </w:p>
    <w:p>
      <w:r>
        <w:t>Mit Urteil der Amtsgerichtspräsidentin von Solothurn-Lebern vom 29. Oktober 2024 wurde A.________ des mehrfachen Verweisungsbruchs schuldig gesprochen und hierfür zu einer unbedingten Freiheitsstrafe von zehn Monaten verurteilt. Weiter wurde verfügt, dass A.________ in Sicherheitshaft belassen und diese bis zum 28. Februar 2025 verlängert werde. Gegen dieses Urteil meldete A.________ Berufung an. Im Rahmen des Berufungsverfahrens ordnete das Obergericht des Kantons Solothurn mit Verfügung vom 24. Februar 2025 die Verlängerung der Sicherheitshaft bis zum 22. April 2025 an. Es ging von Fluchtgefahr aus.</w:t>
      </w:r>
    </w:p>
    <w:p>
      <w:r>
        <w:rPr>
          <w:b/>
        </w:rPr>
        <w:t>E. 2</w:t>
      </w:r>
    </w:p>
    <w:p>
      <w:r>
        <w:t>Mit handschriftlicher Eingabe vom 4. März 2025 führt A.________ gegen die Verfügung des Obergerichts des Kantons Solothurn vom 24. Februar 2025 Beschwerde in Strafsachen an das Bundesgericht.</w:t>
      </w:r>
    </w:p>
    <w:p>
      <w:r>
        <w:t>Es wurden keine Vernehmlassungen eingeholt.</w:t>
      </w:r>
    </w:p>
    <w:p>
      <w:r>
        <w:rPr>
          <w:b/>
        </w:rPr>
        <w:t>E. 3</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4</w:t>
      </w:r>
    </w:p>
    <w:p>
      <w:r>
        <w:t>Die Vorinstanz legt in Auseinandersetzung mit der bundesgerichtlichen Rechtsprechung zum Haftgrund der Fluchtgefahr gemäss Art. 221 Abs. 1 lit. a StPO dar, weshalb der Haftgrund namentlich aufgrund der unklaren Staatsangehörigkeit des Beschwerdeführers, seinen fehlenden Bindungen zur Schweiz und seiner Reisetätigkeit in verschiedenen europäischen Ländern erfüllt sei. Mit den entsprechenden Erwägungen setzt sich der Beschwerdeführer nicht auseinander. Stattdessen schildert er den Sachverhalt aus seiner Sicht und macht pauschal geltend, bei seiner Inhaftierung handle es sich um ein unzulässiges staatliches Zwangsmittel. Zudem macht er weitschweifende Ausführungen zu seiner angeblichen Staatenlosigkeit, die vom vorliegenden Streitgegenstand aber gar nicht umfasst ist. Solche appellatorische Kritik genügt den dargelegten Begründungsanforderungen offensichtlich nicht, weshalb auf die Beschwerde im vereinfachten Verfahren nach Art. 108 Abs. 1 lit. b BGG nicht einzutreten ist. Das Gesuch um unentgeltliche Rechtspflege des Beschwerdeführers ist wegen Aussichtslosigkeit abzuweisen ( Art. 64 Abs. 1 BGG ). Umständehalber ist indessen von einer Kostenauflage abzusehen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