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20/2024 vom 26. Februar 2024</w:t>
      </w:r>
    </w:p>
    <w:p>
      <w:r>
        <w:t>Bundesgericht, 2024-02-26, DE</w:t>
      </w:r>
    </w:p>
    <w:p>
      <w:r>
        <w:rPr>
          <w:b/>
        </w:rPr>
        <w:t xml:space="preserve">Quelle: </w:t>
      </w:r>
      <w:r>
        <w:t>https://mcp.opencaselaw.ch/entscheid/bger_7B_20_2024</w:t>
      </w:r>
    </w:p>
    <w:p>
      <w:r>
        <w:t>FR: TF 7B 20/2024 du 26 février 2024</w:t>
      </w:r>
    </w:p>
    <w:p>
      <w:r>
        <w:t>IT: TF 7B 20/2024 del 26 febbraio 2024</w:t>
      </w:r>
    </w:p>
    <w:p>
      <w:pPr>
        <w:pStyle w:val="Heading2"/>
      </w:pPr>
      <w:r>
        <w:t>Regeste</w:t>
      </w:r>
    </w:p>
    <w:p>
      <w:r>
        <w:t>Nichtanhandnahme; Nichteintreten | Strafprozess</w:t>
      </w:r>
    </w:p>
    <w:p>
      <w:pPr>
        <w:pStyle w:val="Heading2"/>
      </w:pPr>
      <w:r>
        <w:t>Erwägungen</w:t>
      </w:r>
    </w:p>
    <w:p>
      <w:r>
        <w:rPr>
          <w:b/>
        </w:rPr>
        <w:t>E. 1</w:t>
      </w:r>
    </w:p>
    <w:p>
      <w:r>
        <w:t>Am 13. Dezember 2023 nahm die Regionale Staatsanwaltschaft Oberland das vom Beschwerdeführer gegen unbekannte Täterschaft bzw. Mitarbeiterinnen und Mitarbeiter der Schlichtungsbehörde Berner Oberland initiierte Strafverfahren wegen Amtsmissbrauchs nicht an die Hand. Die dagegen erhobene Beschwerde wies das Obergericht des Kantons Bern am 27. Dezember 2023 ab. Der Beschwerdeführer erhob am 9. Januar 2024 (Posteingang) Beschwerde in Strafsachen gegen den Beschluss des Obergerichts.</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w:t>
      </w:r>
    </w:p>
    <w:p>
      <w:r>
        <w:rPr>
          <w:b/>
        </w:rPr>
        <w:t>E. 3</w:t>
      </w:r>
    </w:p>
    <w:p>
      <w:r>
        <w:t>Gegen Mitarbeiterinnen und Mitarbeiter der Schlichtungsbehörde Berner Oberland bzw. gegen eine dort beschäftigte unbekannte Täterschaft - der Beschwerdeführer geht selbst von im Amt begangenen Delikten aus (Strafanzeige wegen Amtsgeheimnisverletzung) - kämen einzig öffentlich-rechtliche Ansprüche in Frage (vgl. Art. 100 Abs. 1 i.V.m. Art. 3 Abs. 1 des Personalgesetzes des Kantons Bern vom 16. September 2004 [PG; BSG 153.01]), weshalb es an der Legitimation im Sinne von Art. 81 Abs. 1 lit. b Ziff. 5 BGG fehlt ( BGE 146 IV 76 E. 3.1 ; 131 I 455 E. 1.2.4; 128 IV 188 E. 2.2 f.). Dazu, bzw. weshalb ihm eine Zivilforderung zustehen soll, äussert sich der Beschwerdeführer nicht. Unbesehen davon lässt sich der Eingabe nicht ansatzweise entnehmen, dass und inwiefern die Vorinstanz mit dem angefochtenen Beschluss gegen das geltende Recht im Sinne von Art. 95 BGG verstossen haben könnte. Der Beschwerdeführer rügt ferner keine Verletzung von Verfahrensrechten, deren Missachtung eine formelle Rechtsverweigerung darstellt ("Star-Praxis"; BGE 141 IV 1 E. 1.1), weshalb auch unter diesem Titel nicht auf die Beschwerden eingetreten werden kann.</w:t>
      </w:r>
    </w:p>
    <w:p>
      <w:r>
        <w:rPr>
          <w:b/>
        </w:rPr>
        <w:t>E. 4</w:t>
      </w:r>
    </w:p>
    <w:p>
      <w:r>
        <w:t>Auf die Beschwerde ist mangels (Begründung der) Legitimation im Verfahren nach Art. 108 BGG nicht einzutreten. Die Gerichtskosten sind dem Beschwerdeführer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