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203/2023 vom 26. Juli 2024</w:t>
      </w:r>
    </w:p>
    <w:p>
      <w:r>
        <w:t>Bundesgericht, 2024-07-26, DE</w:t>
      </w:r>
    </w:p>
    <w:p>
      <w:r>
        <w:rPr>
          <w:b/>
        </w:rPr>
        <w:t xml:space="preserve">Quelle: </w:t>
      </w:r>
      <w:r>
        <w:t>https://mcp.opencaselaw.ch/entscheid/bger_7B_203_2023</w:t>
      </w:r>
    </w:p>
    <w:p>
      <w:r>
        <w:t>FR: TF 7B 203/2023 du 26 juillet 2024</w:t>
      </w:r>
    </w:p>
    <w:p>
      <w:r>
        <w:t>IT: TF 7B 203/2023 del 26 luglio 2024</w:t>
      </w:r>
    </w:p>
    <w:p>
      <w:pPr>
        <w:pStyle w:val="Heading2"/>
      </w:pPr>
      <w:r>
        <w:t>Regeste</w:t>
      </w:r>
    </w:p>
    <w:p>
      <w:r>
        <w:t>Strafverfahren; Entsiegelung | Strafprozess</w:t>
      </w:r>
    </w:p>
    <w:p>
      <w:pPr>
        <w:pStyle w:val="Heading2"/>
      </w:pPr>
      <w:r>
        <w:t>Erwägungen</w:t>
      </w:r>
    </w:p>
    <w:p>
      <w:r>
        <w:rPr>
          <w:b/>
        </w:rPr>
        <w:t>E. 1.1</w:t>
      </w:r>
    </w:p>
    <w:p>
      <w:r>
        <w:t>Das Bundesgericht prüft von Amtes wegen und mit freier Kognition, ob auf die Beschwerde eingetreten werden kann ( Art. 29 Abs. 1 und Art. 106 Abs. 1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Die per 1. Januar 2024 in Kraft getretene Gesetzesänderung betreffend Siegelungs- bzw. Entsiegelungsverfahren hat keine Auswirkungen auf das vorliegende Urteil. Das Bundesgericht prüft im Rahmen der Beschwerde in Strafsachen nämlich nur, ob die kantonale Instanz das Bundesrecht richtig angewendet hat, mithin jenes Recht, welches die Vorinstanz im angefochtenen Entscheid anwenden musste (Urteil 7B_2/2023 vom 12. März 2024 E. 2.1 mit Hinweisen). Massgebend für die Beurteilung der bundesgerichtlichen Beschwerde sind damit weiterhin die Siegelungs- bzw. Entsiegelungsbestimmungen, wie sie bis zum 31. Dezember 2023 galten.</w:t>
      </w:r>
    </w:p>
    <w:p>
      <w:r>
        <w:rPr>
          <w:b/>
        </w:rPr>
        <w:t>E. 1.3</w:t>
      </w:r>
    </w:p>
    <w:p>
      <w:r>
        <w:t>Angefochten ist ein nach aArt.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1.4</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Der Beschwerdeführer behauptet schlüssig, dass einer Entsiegelung geschützte Geheimhaltungsrechte entgegenstehen. So zeigt er hinreichend substanziiert auf, dass sich in den Unterlagen per E-Mail erfolgte Anwaltskorrespondenz im Zusammenhang mit einem Strafverfahren vor dem Obergericht Zürich und im Zusammenhang mit einem Strafverfahren, welches bis zum 22. Februar 2019 bei der Staatsanwaltschaft Zürich geführt worden sei, sowie medizinische Berichte, welche zu seinem Spitaleintritt geführt hätten, befänden. Damit droht ihm nach der Praxis des Bundesgerichts ein nicht wieder gutzumachender Nachteil im Sinne von Art. 93 Abs. 1 lit. a BGG ( BGE 143 IV 462 E. 1).</w:t>
      </w:r>
    </w:p>
    <w:p>
      <w:r>
        <w:rPr>
          <w:b/>
        </w:rPr>
        <w:t>E. 1.5</w:t>
      </w:r>
    </w:p>
    <w:p>
      <w:r>
        <w:t>Auf die Beschwerde ist - da auch die übrigen Sachurteilsvoraussetzungen erfüllt sind - einzutreten.</w:t>
      </w:r>
    </w:p>
    <w:p>
      <w:r>
        <w:rPr>
          <w:b/>
        </w:rPr>
        <w:t>E. 2.1</w:t>
      </w:r>
    </w:p>
    <w:p>
      <w:r>
        <w:t>Der Beschwerdeführer rügt eine Verletzung seines rechtlichen Gehörs. Er macht geltend, die Vorinstanz habe ihn im Entsiegelungsverfahren weder zu einer Stellungnahme eingeladen, noch habe sie ihm die Eingabe der Staatsanwaltschaft förmlich zugestellt. Die Vorinstanz habe, nachdem die Staatsanwaltschaft am 20. Dezember 2022 um Entsiegelung ersucht habe, mit Verfügung vom 5. Januar 2023 einen Nichteintretensentscheid erlassen, ohne ihn vorher anzuhören. Damit habe er vorinstanzlich keine Gelegenheit gehabt, den Entsiegelungsrichter auf seine Sachdarstellung betreffend die Rechtzeitigkeit des Siegelungsbegehrens hinzuweisen und diesbezüglich Beweismittel einzureichen oder zu nennen. Der angefochtene Entscheid verletze Art. 29 Abs. 2 BV sowie Art. 107 Abs. 1 StPO .</w:t>
      </w:r>
    </w:p>
    <w:p>
      <w:r>
        <w:rPr>
          <w:b/>
        </w:rPr>
        <w:t>E. 2.2.1</w:t>
      </w:r>
    </w:p>
    <w:p>
      <w:r>
        <w:t>Gemäss Art. 6 Ziff. 1 EMRK , Art. 29 Abs. 2 BV sowie Art. 3 Abs. 2 lit. c und Art. 107 StPO haben die Parteien Anspruch auf rechtliches Gehör. Dieser Anspruch dient der Sachaufklärung und garantiert den Verfahrensbeteiligten ein persönlichkeitsbezogenes Mitwirkungsrecht. Sie haben insbesondere Anspruch auf Äusserung zur Sache vor Erlass eines in ihre Rechtsstellung eingreifenden Entscheids ( BGE 149 I 91 E. 3.2; 144 II 427 E. 3.1; Urteil 7B_535/2024 vom 3. Juni 2024 E. 2.3.1; je mit Hinweisen). Der Anspruch auf rechtliches Gehör umfasst zudem das Recht, von den beim Gericht eingereichten Stellungnahmen Kenntnis zu erhalten und sich dazu äussern zu können, unabhängig davon, ob die Eingaben neue oder wesentliche Vorbringen enthalten ( BGE 146 III 97 E. 3.4.1; 142 III 48 E. 4.1.1 ; 138 I 484 E. 2.1; je mit Hinweisen).</w:t>
      </w:r>
    </w:p>
    <w:p>
      <w:r>
        <w:rPr>
          <w:b/>
        </w:rPr>
        <w:t>E. 2.2.2</w:t>
      </w:r>
    </w:p>
    <w:p>
      <w:r>
        <w:t>Der Anspruch auf rechtliches Gehör ist formeller Natur. Seine Verletzung führt ungeachtet der Erfolgsaussichten der Beschwerde in der Sache selbst zur Aufhebung des angefochtenen Entscheids ( BGE 144 IV 302 E. 3.1).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Urteil 7B_1028/2023 vom 12. Januar 2024 E. 3.2.3; je mit Hinweis/en).</w:t>
      </w:r>
    </w:p>
    <w:p>
      <w:r>
        <w:rPr>
          <w:b/>
        </w:rPr>
        <w:t>E. 2.3</w:t>
      </w:r>
    </w:p>
    <w:p>
      <w:r>
        <w:t>Die Vorinstanz und die Staatsanwaltschaft bestreiten die Sachdarstellung des Beschwerdeführers, wonach er keine Gelegenheit zur Stellungnahme erhalten habe, nicht. Die Vorinstanz hat den Beschwerdeführer weder zum Entsiegelungsgesuch angehört, noch ihm Gelegenheit gegeben, zu der von ihr in Aussicht genommenen Verfahrenserledigung (Nichteintreten auf das Gesuch wegen Verspätung des Siegelungsbegehrens und Freigabe der Asservate an die Staatsanwaltschaft zur Durchsuchung und Verwendung in der Strafuntersuchung) Stellung zu nehmen. Die Rüge der Gehörsverletzung erweist sich demzufolge als begründet. Eine Heilung der Verletzung des rechtlichen Gehörs ist vorliegend von vornherein ausgeschlossen, weil dem Bundesgericht keine freie Prüfungsbefugnis zusteht ( Art. 97 Abs. 1 und Art. 105 Abs. 2 BGG ). Die Beschwerde ist gutzuheissen und der angefochtene Entscheid aufzuheben. Auf die weiteren Rügen des Beschwerdeführers ist bei diesem Ausgang des Verfahrens nicht einzugehen.</w:t>
      </w:r>
    </w:p>
    <w:p>
      <w:r>
        <w:rPr>
          <w:b/>
        </w:rPr>
        <w:t>E. 3</w:t>
      </w:r>
    </w:p>
    <w:p>
      <w:r>
        <w:t>Es sind keine Gerichtskosten zu erheben ( Art. 66 Abs. 4 BGG ). Der Kanton Zürich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