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7B_200/2026 vom 25. März 2026</w:t>
      </w:r>
    </w:p>
    <w:p>
      <w:r>
        <w:t>Bundesgericht, 2026-03-25, DE</w:t>
      </w:r>
    </w:p>
    <w:p>
      <w:r>
        <w:rPr>
          <w:b/>
        </w:rPr>
        <w:t xml:space="preserve">Quelle: </w:t>
      </w:r>
      <w:r>
        <w:t>https://mcp.opencaselaw.ch/entscheid/bger_7B_200_2026</w:t>
      </w:r>
    </w:p>
    <w:p>
      <w:r>
        <w:t>FR: TF 7B_200/2026 du 25 mars 2026</w:t>
      </w:r>
    </w:p>
    <w:p>
      <w:r>
        <w:t>IT: TF 7B_200/2026 del 25 marzo 2026</w:t>
      </w:r>
    </w:p>
    <w:p>
      <w:pPr>
        <w:pStyle w:val="Heading2"/>
      </w:pPr>
      <w:r>
        <w:t>Erwägungen</w:t>
      </w:r>
    </w:p>
    <w:p>
      <w:r>
        <w:rPr>
          <w:b/>
        </w:rPr>
        <w:t>E. 1</w:t>
      </w:r>
    </w:p>
    <w:p>
      <w:r>
        <w:t>Die Beschwerde in Strafsachen vom 4. Februar 2026, ergänzt mit Eingaben vom 17. Februar 2026 und 14. März 2026, wegen Rechtsverweigerung durch das Obergericht des Kantons Schaffhausen in der rubrizierten Angelegenheit wurde mit Eingabe vom 24. März 2026 zurückgezogen. Mit dem Rückzug der Beschwerde wird das Verfahren gegenstandslos und ist im Verfahren nach Art. 32 Abs. 2 BGG abzuschreiben. Umständehalber sind keine Gerichtskosten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