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7B_200/2025 vom 17. April 2025</w:t>
      </w:r>
    </w:p>
    <w:p>
      <w:r>
        <w:t>Bundesgericht, 2025-04-17, DE</w:t>
      </w:r>
    </w:p>
    <w:p>
      <w:r>
        <w:rPr>
          <w:b/>
        </w:rPr>
        <w:t xml:space="preserve">Quelle: </w:t>
      </w:r>
      <w:r>
        <w:t>https://mcp.opencaselaw.ch/entscheid/bger_7B_200_2025</w:t>
      </w:r>
    </w:p>
    <w:p>
      <w:r>
        <w:t>FR: TF 7B_200/2025 du 17 avril 2025</w:t>
      </w:r>
    </w:p>
    <w:p>
      <w:r>
        <w:t>IT: TF 7B_200/2025 del 17 aprile 2025</w:t>
      </w:r>
    </w:p>
    <w:p>
      <w:pPr>
        <w:pStyle w:val="Heading2"/>
      </w:pPr>
      <w:r>
        <w:t>Erwägungen</w:t>
      </w:r>
    </w:p>
    <w:p>
      <w:r>
        <w:rPr>
          <w:b/>
        </w:rPr>
        <w:t>E. 1</w:t>
      </w:r>
    </w:p>
    <w:p>
      <w:r>
        <w:t>Der Beschwerdeführer erstattete am 2. August 2024 Strafanzeige gegen das Zentrum B.________ in U.________, welches zur Genossenschaft V.________ gehört, sowie gegen den Leiter Sicherheit (C.________) und die Fachspezialistin Legal &amp; Compliance (D.________) der Genossenschaft V.________. Er warf ihnen vor, ihn verleumdet und seinen Ruf geschädigt zu haben. Das Untersuchungsamt Gossau SG (nachfolgend: Staatsanwaltschaft) verfügte am 19. September 2024 die Nichtanhandnahme eines Strafverfahrens gegen C.________, D.________ und eine unbekannte Täterschaft. Der Beschwerdeführer erhob gegen diese Verfügung Beschwerde beim Kantonsgericht St. Gallen, welche diese mit Entscheid vom 20. Februar 2025 teilweise guthiess und die Nichtanhandnahmeverfügung in Bezug auf die unbekannte Täterschaft aufhob; im Übrigen wurde die Beschwerde abgewiesen, womit die Nichtanhandnahme hinsichtlich der Beschwerdegegner 1 und 2 bestehen blieb. Der Beschwerdeführer gelangte dagegen mit Beschwerde vom 27. Februar 2025 ans Kantonsgericht, welches diese in Anwendung von Art. 48 Abs. 3 BGG an das Bundesgericht weiterleitete.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 Die Begründung muss in der Beschwerde selbst enthalten sein; namentlich der blosse Verweis auf Ausführungen in anderen Rechtsschriften oder auf die Akten reicht nicht aus ( BGE 144 V 173 E. 3.2.2; 143 IV 122 E. 3.3; 140 III 115 E. 2; je mit Hinweisen).</w:t>
      </w:r>
    </w:p>
    <w:p>
      <w:r>
        <w:rPr>
          <w:b/>
        </w:rPr>
        <w:t>E. 3</w:t>
      </w:r>
    </w:p>
    <w:p>
      <w:r>
        <w:t>Der Beschwerdeführer äussert sich mit keinem Wort zu seiner Beschwerdelegitimation bzw. einen ihm allenfalls zustehenden Zivilanspruch im Sinne von Art. 81 Abs. 1 lit. b Ziff. 5 BGG. Angesichts der von ihm zur Anzeige gebrachten mutmasslichen Ehrverletzungsdelikte liegen solche auch nicht offensichtlich vor. Zudem wird nicht ansatzweise hinreichend begründet, inwiefern der angefochtene Entscheid in tatsächlicher oder rechtlicher Hinsicht fehlerhaft sein sollte. Die Beschwerde setzt sich nicht materiell mit den Erwägungen der Vorinstanz auseinander, sondern nimmt diese lediglich zum Anlass für appellatorische Kritik. Insgesamt vermag die Beschwerde den Begründungsanforderungen offensichtlich nicht zu genügen.</w:t>
      </w:r>
    </w:p>
    <w:p>
      <w:r>
        <w:rPr>
          <w:b/>
        </w:rPr>
        <w:t>E. 4</w:t>
      </w:r>
    </w:p>
    <w:p>
      <w:r>
        <w:t>Der Beschwerdeführer rügt ferner keine Verletzung von Verfahrensrechten, deren Missachtung einer formellen Rechtsverweigerung gleichkommen würde und von der Prüfung der Sache getrennt werden könnte ("Star-Praxis"; BGE 146 IV 76 E. 2; 141 IV 1 E. 1.1).</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