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7B_1/2025 vom 3. März 2025</w:t>
      </w:r>
    </w:p>
    <w:p>
      <w:r>
        <w:t>Bundesgericht, 2025-03-03, DE</w:t>
      </w:r>
    </w:p>
    <w:p>
      <w:r>
        <w:rPr>
          <w:b/>
        </w:rPr>
        <w:t xml:space="preserve">Quelle: </w:t>
      </w:r>
      <w:r>
        <w:t>https://mcp.opencaselaw.ch/entscheid/bger_7B_1_2025</w:t>
      </w:r>
    </w:p>
    <w:p>
      <w:r>
        <w:t>FR: TF 7B_1/2025 du 3 mars 2025</w:t>
      </w:r>
    </w:p>
    <w:p>
      <w:r>
        <w:t>IT: TF 7B_1/2025 del 3 marzo 2025</w:t>
      </w:r>
    </w:p>
    <w:p>
      <w:pPr>
        <w:pStyle w:val="Heading2"/>
      </w:pPr>
      <w:r>
        <w:t>Erwägungen</w:t>
      </w:r>
    </w:p>
    <w:p>
      <w:r>
        <w:rPr>
          <w:b/>
        </w:rPr>
        <w:t>E. 1</w:t>
      </w:r>
    </w:p>
    <w:p>
      <w:r>
        <w:t>Am 17. und 25. Januar 2024 reichte A.________ (fortan: der Beschwerdeführer) Strafanzeige gegen Rechtsanwältin B.________ wegen übler Nachrede, Verleumdung, falscher Anschuldigung und Irreführung der Rechtspflege ein. Mit Entscheid vom 24. Oktober 2024 verfügte die Staatsanwaltschaft des Kantons Freiburg, auf die Strafsache nicht einzutreten. Eine hiergegen gerichtete Beschwerde wies das Kantonsgericht mit "Urteil" vom 11. Dezember 2024 ab, soweit es darauf eintrat. Der Beschwerdeführer wendet sich ans Bundesgericht und verlangt sinngemäss die Eröffnung eines Strafverfahrens gegen Rechtsanwältin B.________.</w:t>
      </w:r>
    </w:p>
    <w:p>
      <w:r>
        <w:rPr>
          <w:b/>
        </w:rPr>
        <w:t>E. 2.1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2.2</w:t>
      </w:r>
    </w:p>
    <w:p>
      <w:r>
        <w:t>Der Beschwerdeführer äussert sich nicht zu seiner Legitimation als Privatkläger im Sinne von Art. 81 Abs. 1 lit. b Ziff. 5 BGG und zur Frage der Zivilforderung. So legt er nicht dar, aus welchen Gründen und inwiefern sich der angefochtene Entscheid auf welchen konkreten Zivilanspruch auswirken sollte. Im Übrigen ist auch nicht erkennbar, dass die von ihm zur Anzeige gebrachten Delikte unmittelbar zu einer so starken Beeinträchtigung der körperlichen, psychischen oder sexuellen Integrität des Beschwerdeführers geführt hätten, dass sich daraus ohne Weiteres ein Anspruch auf Schadenersatz oder Genugtuung ergäbe (vgl. Urteil 7B_18/2024 vom 14. März 2024 E. 2), soweit dies überhaupt in Frage käme. Damit kommt der Beschwerdeführer den Begründungsanforderungen nicht nach.</w:t>
      </w:r>
    </w:p>
    <w:p>
      <w:r>
        <w:rPr>
          <w:b/>
        </w:rPr>
        <w:t>E. 2.3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keine.</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