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199/2024 vom 2. April 2024</w:t>
      </w:r>
    </w:p>
    <w:p>
      <w:r>
        <w:t>Bundesgericht, 2024-04-02, DE</w:t>
      </w:r>
    </w:p>
    <w:p>
      <w:r>
        <w:rPr>
          <w:b/>
        </w:rPr>
        <w:t xml:space="preserve">Quelle: </w:t>
      </w:r>
      <w:r>
        <w:t>https://mcp.opencaselaw.ch/entscheid/bger_7B_199_2024</w:t>
      </w:r>
    </w:p>
    <w:p>
      <w:r>
        <w:t>FR: TF 7B 199/2024 du 2 avril 2024</w:t>
      </w:r>
    </w:p>
    <w:p>
      <w:r>
        <w:t>IT: TF 7B 199/2024 del 2 aprile 2024</w:t>
      </w:r>
    </w:p>
    <w:p>
      <w:pPr>
        <w:pStyle w:val="Heading2"/>
      </w:pPr>
      <w:r>
        <w:t>Regeste</w:t>
      </w:r>
    </w:p>
    <w:p>
      <w:r>
        <w:t>Ausstand; Nichteintreten | Zuständigkeitsfragen, Garantie des Wohnsitzrichters und des v...</w:t>
      </w:r>
    </w:p>
    <w:p>
      <w:pPr>
        <w:pStyle w:val="Heading2"/>
      </w:pPr>
      <w:r>
        <w:t>Erwägungen</w:t>
      </w:r>
    </w:p>
    <w:p>
      <w:r>
        <w:rPr>
          <w:b/>
        </w:rPr>
        <w:t>E. 1</w:t>
      </w:r>
    </w:p>
    <w:p>
      <w:r>
        <w:t>A.________ wurde mit Strafbefehl vom 20. Dezember 2023 wegen Beschimpfung schuldig gesprochen, da er C.________ nachdem ihn dieser beim Morgenspaziergang mit seinem Chihuahua mit "Morgen" gegrüsst habe, als "Arschloch" betitelt habe. A.________ wurde zu einer bedingten Geldstrafe von 10 Tagessätzen zu je Fr. 120.-- mit einer Probezeit von zwei Jahren sowie zu einer Busse von Fr. 240.-- verurteilt. Gegen den Strafbefehl erhob A.________ Einsprache und erstattete gleichzeitig Strafanzeige gegen den "fehlbaren Hundebesitzer". Mit Verfügung vom 3. Januar 2024 nahm das Untersuchungsamt die Strafanzeige von A.________ wegen falscher Anschuldigung nicht an die Hand. Am 4. Januar 2024 beantragte A.________ den Ausstand des verfahrensleitenden Staatsanwalts B.________. Dieser leitete das Ausstandsbegehren samt den Strafakten zuständigkeitshalber an die Anklagekammer des Kantons St. Gallen. Diese wies das Ausstandsgesuch gegen den verfahrensleitenden Staatsanwalt mit Entscheid vom 8. Februar 2024 ab. Mit Eingabe vom 16. Februar 2024 führt A.________ Beschwerde in Strafsachen an das Bundesgericht und beantragt sinngemäss die Aufhebung des angefochtenen Entscheids.</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Der Beschwerdeführer setzt sich in seiner Beschwerde nicht ansatzweise mit dem angefochtenen Entscheid und der nachvollziehbaren vorinstanzlichen Begründung auseinander. Stattdessen beschränkt er sich auf rein appellatorische Kritik. Er legt einzig seine Sicht der Dinge dar, führt die "Konsequenzen" auf, die der Entscheid für ihn habe, ohne aber nachvollziehbar aufzuzeigen, inwiefern die Vorinstanz mit dem angefochtenen Beschluss tatsächlich gegen das geltende Recht im Sinne von Art. 95 BGG verstossen haben soll, indem sie das Ausstandsgesuch gegen den verfahrensleitenden Staatsanwalt abgewiesen hat. Der Begründungsmangel ( Art. 42 Abs. 2 BGG ) ist offensichtlich, weshalb auf die Beschwerde im Verfahren nach Art. 108 BGG nicht einzutreten ist.</w:t>
      </w:r>
    </w:p>
    <w:p>
      <w:r>
        <w:rPr>
          <w:b/>
        </w:rPr>
        <w:t>E. 3</w:t>
      </w:r>
    </w:p>
    <w:p>
      <w:r>
        <w:t>Auf die Erhebung von 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