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7B_198/2023 vom 4. September 2023</w:t>
      </w:r>
    </w:p>
    <w:p>
      <w:r>
        <w:t>Bundesgericht, 2023-09-04, DE</w:t>
      </w:r>
    </w:p>
    <w:p>
      <w:r>
        <w:rPr>
          <w:b/>
        </w:rPr>
        <w:t xml:space="preserve">Quelle: </w:t>
      </w:r>
      <w:r>
        <w:t>https://mcp.opencaselaw.ch/entscheid/bger_7B_198_2023</w:t>
      </w:r>
    </w:p>
    <w:p>
      <w:r>
        <w:t>FR: TF 7B_198/2023 du 4 septembre 2023</w:t>
      </w:r>
    </w:p>
    <w:p>
      <w:r>
        <w:t>IT: TF 7B_198/2023 del 4 settembre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6B_309/2022 vom 22. Februar 2023 E. 1.1; 6B_1229/2021 vom 17. Januar 2022 E. 4.1; je mit Hinweisen). Letzteres kann etwa dann gegeben sein, wenn das angestrengte Strafverfahren ein angebliches Delikt gegen Leib oder Leben oder gegen die sexuelle Integrität zum Gegenstand hat.</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BGE 146 IV 76 E. 3.1, publ. in: Pra 109 [2020] Nr. 89; 128 IV 188 E. 2.2; Urteil 6B_1301/2021 vom 9. März 2023 E. 1.1; je mit Hinweisen).</w:t>
      </w:r>
    </w:p>
    <w:p>
      <w:r>
        <w:rPr>
          <w:b/>
        </w:rPr>
        <w:t>E. 1.2</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des Beschwerdeführers Recht verletzt ist ( BGE 142 I 99 E. 1.7.1; Urteil 6B_787/2022 vom 5. Dezember 2022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Wird die Verletzung von Grundrechten, einschliesslich Willkür, behauptet, besteht eine qualifizierte Begründungspflicht (Art. 97 Abs. 1 i.V.m. Art. 106 Abs. 2 BGG ; BGE 148 IV 39 E. 2.3.5 mit Hinweisen). Auf ungenügend begründete Rügen tritt das Bundesgericht nicht ein ( BGE 147 IV 73 E. 4.1.2).</w:t>
      </w:r>
    </w:p>
    <w:p>
      <w:r>
        <w:rPr>
          <w:b/>
        </w:rPr>
        <w:t>E. 1.3</w:t>
      </w:r>
    </w:p>
    <w:p>
      <w:r>
        <w:t>Der Beschwerdeführer führt zu seiner Beschwerdelegitimation aus, er habe als Privatkläger am vorinstanzlichen Verfahren teilgenommen und sei als Privatkläger unmittelbar am Vermögen geschädigt worden. Letzteres werde auch im angefochtenen Entscheid in E. II.2.3 auf S. 3 festgestellt. Der angefochtene Entscheid könne sich demnach auf seine Zivilansprüche auswirken, weshalb ihm ein rechtlich geschütztes Interesse an einem Entscheid im Sinne seiner Anträge zukomme.</w:t>
      </w:r>
    </w:p>
    <w:p>
      <w:r>
        <w:rPr>
          <w:b/>
        </w:rPr>
        <w:t>E. 1.4</w:t>
      </w:r>
    </w:p>
    <w:p>
      <w:r>
        <w:t>Die Begründung des Beschwerdeführers, er habe als Privatkläger einen unmittelbaren Vermögensschaden erlitten, was auch die Vorinstanz festgestellt habe, ist unzureichend, um im vorliegenden Verfahren eine Sachlegitimation zu begründen. Der Beschwerdeführer wäre gehalten gewesen, seinen behaupteten zivilrechtlichen Anspruch näher zu begründen. Dies insbesondere deshalb, weil er als beklagte Partei an einem Zivilverfahren beteiligt war, welches im Wesentlichen eine Honorarstreitigkeit im Zusammenhang mit dem Bauprojekt B.________ in Zürich Höngg betraf. Im Rahmen eben dieses Bauprojekts soll es zu der vom Beschwerdeführer zur Anzeige gebrachten ungetreuen Geschäftsbesorgung gekommen sein. In diesem am 1. Februar 2016 - und damit vor Einreichung der Strafanzeige am 30. April. 2019) - angehobenen Zivilverfahren hat der Beschwerdeführer verrechnungsweise Rückforderungsansprüche geltend gemacht. Damit stellen sich in Bezug auf die vom Beschwerdeführer zur Legitimation im vorliegenden Verfahren angeführte Zivilforderung Fragen der res iudicata, der Litispendenz und der Klageidentität (vgl. dazu BGE 145 IV 351 E. 4.3) : Der Beschwerdeführer hätte sich detailliert dazu äussern müssen, dass und weshalb das bereits durchgeführte Zivilverfahren (und allfällige weitere von ihm oder Dritten angestrengte Zivilverfahren) einem strafrechtlichen Adhäsionsverfahren nicht entgegenstehen, und inwiefern noch ein aktuelles Rechtsschutzinteresse an der Behandlung der Beschwerde bestehen soll. Hierzu äussert sich der Beschwerdeführer jedoch nicht. Im Übrigen liegt angesichts der Umstände nahe, dass es vorliegend einzig um eine zivilrechtliche Auseinandersetzung geht. Das Strafverfahren darf nicht nur als Vehikel zur Durchsetzung allfälliger zivilrechtlicher Ansprüche verwendet werden ( BGE 137 IV 246 E. 1.3.1; Urteile 6B_1404/2022 vom 6. Februar 2023 E. 5.2; 6B_232/2022 vom 16. Dezember 2022 E. 2.7; je mit Hinweisen). Weshalb dies auf das gegenständliche Adhäsionsverfahren nicht zutreffen soll, wäre angesichts der Gegebenheiten ebenfalls zu begründen gewesen. Der Beschwerdeführer setzt sich auch sonst nicht mit der einschlägigen bundesgerichtlichen Rechtsprechung zur Beschwerdelegitimation nach Art. 81 Abs. 1 lit. b Ziff. 5 BGG auseinander. Die Beschwerde vermag somit insgesamt den Begründungsanforderungen nicht zu genügen.</w:t>
      </w:r>
    </w:p>
    <w:p>
      <w:r>
        <w:rPr>
          <w:b/>
        </w:rPr>
        <w:t>E. 1.5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Ein in der Sache nicht legitimierter Beschwerdeführer kann deshalb insbesondere nicht geltend machen, die Begründung sei materiell unzutreffend (vgl. Urteil 6B_574/2022 vom 15. Juni 2022 E. 3.1;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2</w:t>
      </w:r>
    </w:p>
    <w:p>
      <w:r>
        <w:t>Auf die Beschwerde ist mangels (hinreichender Begründung der) Legitimation im Verfahren nach Art. 108 BGG nicht einzutreten.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