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7B_196/2026 vom 13. April 2026</w:t>
      </w:r>
    </w:p>
    <w:p>
      <w:r>
        <w:t>Bundesgericht, 2026-04-13, FR</w:t>
      </w:r>
    </w:p>
    <w:p>
      <w:r>
        <w:rPr>
          <w:b/>
        </w:rPr>
        <w:t xml:space="preserve">Quelle: </w:t>
      </w:r>
      <w:r>
        <w:t>https://mcp.opencaselaw.ch/entscheid/bger_7B_196_2026</w:t>
      </w:r>
    </w:p>
    <w:p>
      <w:r>
        <w:t>FR: TF 7B_196/2026 du 13 avril 2026</w:t>
      </w:r>
    </w:p>
    <w:p>
      <w:r>
        <w:t>IT: TF 7B_196/2026 del 13 aprile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l'autorité précédente a considéré que le recours cantonal était irrecevable, dans la mesure où cette voie de droit n'était pas ouverte concernant une ordonnance pénale contre laquelle il pouvait être formé opposition (cf. art. 354 al. 1 CPP ). Par ailleurs, en tant que le recours était dirigé contre une ordonnance du 5 janvier 2026 - par laquelle la cause a été transmise au tribunal de première instance afin qu'il examine la validité de l'ordonnance pénale et de l'opposition formée par le recourant contre celle-ci -, il était également irrecevable dès lors qu'une telle décision n'était pas sujette à recours (cf. arrêt attaqué, p. 2).</w:t>
      </w:r>
    </w:p>
    <w:p>
      <w:r>
        <w:rPr>
          <w:b/>
        </w:rPr>
        <w:t>E. 1.3</w:t>
      </w:r>
    </w:p>
    <w:p>
      <w:r>
        <w:t>Face à la motivation cantonale, le recourant se limite pour l'essentiel à invoquer des arguments relatifs au fond, soit à sa condamnation pour une infraction à la loi fédérale sur les armes (LArm; RS 514.54). Au surplus, il se plaint d'une violation de l' art. 29 al. 2 Cst. en lien notamment avec la notification de "la procédure" à "une adresse secondaire, non officielle", ce qui l'aurait empêché d'exercer de manière effective ses droits "de défense" dans le délai légal.</w:t>
      </w:r>
    </w:p>
    <w:p>
      <w:r>
        <w:t>Ce faisant, le recourant n'articule aucune critique topique, propre à démontrer que l'autorité précédente aurait violé le droit fédéral en déclarant irrecevable son recours cantonal. Son mémoire est en particulier dénué de toute motivation, conforme aux exigences accrues en la matière, susceptible d'établir une violation de son droit d'être entendu ( art. 29 al. 2 Cst. ). Le recourant n'expose en outre pas en quoi les dispositions sur la notification des prononcés (cf. art. 84 ss CPP ) auraient été enfreintes, alors qu'il admet avoir retiré le pli recommandé contenant l'arrêt attaqué quelques jours après son envoi et que cette notification directe en France est intervenue conformément aux règles en matière d'entraide pénale internationale (cf. art. 16 du Deuxième Protocole additionnel à la Convention européenne d'entraide judiciaire en matière pénale [RS 0.351.12]).</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toutefois fixés en tenant compte de sa situation financière (art. 65 al. 2 et 66 al. 1 LTF).</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