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7B_196/2023 vom 13. Juli 2023</w:t>
      </w:r>
    </w:p>
    <w:p>
      <w:r>
        <w:t>Bundesgericht, 2023-07-13, FR</w:t>
      </w:r>
    </w:p>
    <w:p>
      <w:r>
        <w:rPr>
          <w:b/>
        </w:rPr>
        <w:t xml:space="preserve">Quelle: </w:t>
      </w:r>
      <w:r>
        <w:t>https://mcp.opencaselaw.ch/entscheid/bger_7B_196_2023</w:t>
      </w:r>
    </w:p>
    <w:p>
      <w:r>
        <w:t>FR: TF 7B_196/2023 du 13 juillet 2023</w:t>
      </w:r>
    </w:p>
    <w:p>
      <w:r>
        <w:t>IT: TF 7B_196/2023 del 13 luglio 2023</w:t>
      </w:r>
    </w:p>
    <w:p>
      <w:pPr>
        <w:pStyle w:val="Heading2"/>
      </w:pPr>
      <w:r>
        <w:t>Erwägungen</w:t>
      </w:r>
    </w:p>
    <w:p>
      <w:r>
        <w:rPr>
          <w:b/>
        </w:rPr>
        <w:t>E. 1</w:t>
      </w:r>
    </w:p>
    <w:p>
      <w:r>
        <w:t>La décision attaquée, par laquelle l'autorité précédente a refusé de désigner un défenseur d'office au recourant, prévenu dans la procédure cantonale, est de nature à causer un préjudice irréparable au sens de l' art. 93 al. 1 let. a LTF ( ATF 140 IV 202 consid. 2.2). Elle peut être déférée auprès du Tribunal fédéral par la voie du recours en matière pénale au sens des art. 78 ss LTF .</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la cour cantonale a considéré que les conditions de l' art. 132 al. 1 let. b CPP n'étaient pas réalisées. Elle a relevé à cet égard que le recourant disposait d'une formation juridique complète, que la cause ne présentait guère de difficultés et qu'en tout état, l'affaire était de peu de gravité au sens de l' art. 132 al. 3 CPP .</w:t>
      </w:r>
    </w:p>
    <w:p>
      <w:r>
        <w:rPr>
          <w:b/>
        </w:rPr>
        <w:t>E. 2.3</w:t>
      </w:r>
    </w:p>
    <w:p>
      <w:r>
        <w:t>Face à la motivation cantonale, le recourant ne dit mot, dans son écriture, au sujet de l'appréciation de l'autorité précédente selon laquelle l'affaire est de peu de gravité. Il se limite à se prévaloir de son indigence et de son état de santé psychique, respectivement à alléguer qu'au vu des faits lui étant reprochés, "l'intervention effective d'un conseil d'office est de nature à assurer réellement une défense concrète et efficace de ses droits".</w:t>
      </w:r>
    </w:p>
    <w:p>
      <w:r>
        <w:t>Ce faisant, le recourant ne critique pas l'un des motifs évoqués par la cour cantonale et qui, à lui seul, fonde la décision attaquée (cf. art. 132 al. 2 et 3 CPP ). Il échoue ainsi à mettre en évidence, par une motivation conforme aux exigences en la matière, en quoi la cour cantonale aurait violé le droit fédéral en lui refusant la désignation d'un défenseur d'office. Il en va au surplus de même de tout grief en lien avec la prétendue violation de ses droits fondamentaux ( art. 29 al. 3 Cst. -VD [BLV 101.01], 29 al. 3 Cst., 6 par. 3 let. e CEDH et 14 al. 3 let. d Pacte ONU II), qui n'est pas motivé à satisfaction de droit.</w:t>
      </w:r>
    </w:p>
    <w:p>
      <w:r>
        <w:rPr>
          <w:b/>
        </w:rPr>
        <w:t>E. 2.4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3</w:t>
      </w:r>
    </w:p>
    <w:p>
      <w:r>
        <w:t>Comme le recours était dénué de chances de succès, la demande d'assistance judiciaire doit être rejetée ( art. 64 al. 1 LTF ). Le recourant, qui succombe, supportera les frais judiciaires, qui seront fixés en tenant compte de sa situation financière n'apparaissant pas favorable (art. 65 al. 2 et 66 al. 1 LTF).</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