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7B_194/2024 vom 20. März 2024</w:t>
      </w:r>
    </w:p>
    <w:p>
      <w:r>
        <w:t>Bundesgericht, 2024-03-20, DE</w:t>
      </w:r>
    </w:p>
    <w:p>
      <w:r>
        <w:rPr>
          <w:b/>
        </w:rPr>
        <w:t xml:space="preserve">Quelle: </w:t>
      </w:r>
      <w:r>
        <w:t>https://mcp.opencaselaw.ch/entscheid/bger_7B_194_2024</w:t>
      </w:r>
    </w:p>
    <w:p>
      <w:r>
        <w:t>FR: TF 7B_194/2024 du 20 mars 2024</w:t>
      </w:r>
    </w:p>
    <w:p>
      <w:r>
        <w:t>IT: TF 7B_194/2024 del 20 marzo 2024</w:t>
      </w:r>
    </w:p>
    <w:p>
      <w:pPr>
        <w:pStyle w:val="Heading2"/>
      </w:pPr>
      <w:r>
        <w:t>Erwägungen</w:t>
      </w:r>
    </w:p>
    <w:p>
      <w:r>
        <w:rPr>
          <w:b/>
        </w:rPr>
        <w:t>E. 1</w:t>
      </w:r>
    </w:p>
    <w:p>
      <w:r>
        <w:t>Die Staatsanwaltschaft des Kantons Wallis, Amt der Region Oberwallis, verurteilte A.________ mit Strafbefehl vom 28. September 2023 wegen mehrfacher übler Nachrede und mehrfacher Beschimpfung zu einer unbedingten Geldstrafe von 50 Tagessätzen zu Fr. 30.-- und auferlegte ihm die Verfahrenskosten von Fr. 400.--. Dagegen führte A.________ mit Eingabe vom 14. November 2023 Beschwerde an das Kantonsgericht Wallis. Dieses erachtete die gegen verschiedene Mitglieder des Kantonsgerichts erhobenen Ausstandsbegehren als unbegründet und trat mit Verfügung vom 9. Januar 2024 auf die Beschwerde nicht ein. Es leitete die Eingabe vom 14. November 2023 zudem an die Staatsanwaltschaft weiter um zu prüfen, ob sie als Einsprache gegen den Strafbefehl vom 28. September 2023 entgegengenommen werden kann.</w:t>
      </w:r>
    </w:p>
    <w:p>
      <w:r>
        <w:rPr>
          <w:b/>
        </w:rPr>
        <w:t>E. 2</w:t>
      </w:r>
    </w:p>
    <w:p>
      <w:r>
        <w:t>A.________ führt mit Eingabe vom 9. Februar 2024 Beschwerde in Strafsache gegen die Verfügung des Kantonsgerichts vom 9. Januar 2024. Vernehmlassungen wurden keine eingeholt.</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setzt sich nicht ansatzweise mit den Erwägungen der Vorinstanz auseinander, sondern bekundet mit seinen jeglichen Anstand vermissen lassenden Ausführungen ohne erkennbaren Sachzusammenhang zum angefochtenen Entscheid seitenlang seinen Unmut gegenüber verschiedenen kantonalen Behördenmitgliedern (u.a. "Banditen", "primitive unzivilisierte Rasse", "Dreckstaat"). Die Beschwerde genügt damit den dargelegten gesetzlichen Formerfordernissen offensichtlich nicht, weshalb auf sie im vereinfachten Verfahren nach Art. 108 Abs. 1 BGG nicht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