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7B_192/2025 vom 11. April 2025</w:t>
      </w:r>
    </w:p>
    <w:p>
      <w:r>
        <w:t>Bundesgericht, 2025-04-11, DE</w:t>
      </w:r>
    </w:p>
    <w:p>
      <w:r>
        <w:rPr>
          <w:b/>
        </w:rPr>
        <w:t xml:space="preserve">Quelle: </w:t>
      </w:r>
      <w:r>
        <w:t>https://mcp.opencaselaw.ch/entscheid/bger_7B_192_2025</w:t>
      </w:r>
    </w:p>
    <w:p>
      <w:r>
        <w:t>FR: TF 7B_192/2025 du 11 avril 2025</w:t>
      </w:r>
    </w:p>
    <w:p>
      <w:r>
        <w:t>IT: TF 7B_192/2025 del 11 aprile 2025</w:t>
      </w:r>
    </w:p>
    <w:p>
      <w:pPr>
        <w:pStyle w:val="Heading2"/>
      </w:pPr>
      <w:r>
        <w:t>Erwägungen</w:t>
      </w:r>
    </w:p>
    <w:p>
      <w:r>
        <w:rPr>
          <w:b/>
        </w:rPr>
        <w:t>E. 1</w:t>
      </w:r>
    </w:p>
    <w:p>
      <w:r>
        <w:t>Mit Verfügung vom 6. November 2024 nahm die Staatsanwaltschaft Zürich-Sihl eine Strafuntersuchung gegen diverse Kantonspolitiker betreffend Amtsmissbrauch nicht an die Hand. Auf eine dagegen erhobene Beschwerde trat das Obergericht des Kantons Zürich mit Verfügung vom 5. Februar 2025 nicht ein, nachdem A.________ (nachfolgend: Beschwerdeführer) innert Frist die von ihm verlangte Sicherheit nicht geleistet hatte. Der Beschwerdeführer wendet sich hiergegen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Verfahrensleitung der Rechtsmittelinstanz kann die Privatklägerschaft verpflichten, innert einer Frist für allfällige Kosten und Entschädigungen Sicherheit zu leisten ( Art. 383 Abs. 1 StPO ). Die Vorinstanz hat den Beschwerdeführer auf diese Rechtslage hingewiesen.</w:t>
      </w:r>
    </w:p>
    <w:p>
      <w:r>
        <w:t>Soweit sich der Beschwerdeführer überhaupt auf den hier interessierenden Verfahrensgegenstand bezieht und in diesem Zusammenhang die Höhe der einverlangten Sicherheitsleistung beanstandet, ergibt sich aus seiner Beschwerde nicht, was am angefochtenen Entscheid in tatsächlicher oder rechtlicher Hinsicht fehlerhaft sein sollte. Die blosse Anrufung von Verfassungs- und Konventionsbestimmungen genügt hierfür nicht. Dass er vor der Vorinstanz ein Gesuch um unentgeltliche Rechtspflege i.S.v. Art. 136 StPO gestellt hätte und dieses nicht behandelt worden wäre, macht er im Übrigen nicht geltend. Damit vermag der Beschwerdeführer den Begründungsanforderungen vor Bundesgericht nicht nachzukommen. Der Begründungsmangel ist offensichtlich ( Art. 42 Abs. 2, Art. 106 Abs. 2 BGG ).</w:t>
      </w:r>
    </w:p>
    <w:p>
      <w:r>
        <w:rPr>
          <w:b/>
        </w:rPr>
        <w:t>E. 4</w:t>
      </w:r>
    </w:p>
    <w:p>
      <w:r>
        <w:t>Auf die Beschwerde ist im Verfahren nach Art. 108 BGG nicht einzutreten.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