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191/2025 vom 28. März 2025</w:t>
      </w:r>
    </w:p>
    <w:p>
      <w:r>
        <w:t>Bundesgericht, 2025-03-28, FR</w:t>
      </w:r>
    </w:p>
    <w:p>
      <w:r>
        <w:rPr>
          <w:b/>
        </w:rPr>
        <w:t xml:space="preserve">Quelle: </w:t>
      </w:r>
      <w:r>
        <w:t>https://mcp.opencaselaw.ch/entscheid/bger_7B_191_2025</w:t>
      </w:r>
    </w:p>
    <w:p>
      <w:r>
        <w:t>FR: TF 7B 191/2025 du 28 mars 2025</w:t>
      </w:r>
    </w:p>
    <w:p>
      <w:r>
        <w:t>IT: TF 7B 191/2025 del 28 marzo 2025</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Alors même que le recourant se trouve vraisemblablement en exécution anticipée d'une peine privative de liberté (cf. le jugement du Tribunal de police de la République et canton de Genève du 28 janvier 2025; P/5031/2023), il peut en tout temps requérir sa libération ( art. 31 al. 4 Cst. , 5 par. 4 CEDH; ATF 143 IV 160 consid. 2.3; 139 IV 191 consid. 4.1 in fine); la qualité pour recourir doit par conséquent lui être reconnue, dès lors que l'arrêt entrepris confirme le rejet de sa demande de libération (cf. art. 81 al. 1 let. a et b ch. 1 LTF; arrêts 7B_1008/2023 du 12 janvier 2024 consid. 1; 7B_475/2023 du 6 septembre 2023 consid. 1.1 et 3.1; 1B_402/2020 du 21 août 2020 consid. 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1.2</w:t>
      </w:r>
    </w:p>
    <w:p>
      <w:r>
        <w:t>Indépendamment de savoir si la détention ordonnée était licite ou pas, la conclusion visant à obtenir une indemnité au sens des art. 429 al. 1 let . c et 431 CPP est irrecevable, étant rappelé qu'il n'entre pas dans la compétence du juge de la détention de statuer sur cette question ( ATF 142 IV 245 consid. 4.1).</w:t>
      </w:r>
    </w:p>
    <w:p>
      <w:r>
        <w:rPr>
          <w:b/>
        </w:rPr>
        <w:t>E. 1.3</w:t>
      </w:r>
    </w:p>
    <w:p>
      <w:r>
        <w:t>Par ailleurs, la conclusion du recourant visant à faire constater que le montant de l'indemnité octroyée à son défenseur d'office pour la procédure de recours cantonale était trop faible est irrecevable. En effet, le prévenu n'a pas d'intérêt juridique à l'annulation ou à la modification de l'arrêt attaqué, afin d'obtenir une augmentation d'une indemnité d'office allouée en faveur de son avocat (cf. art. 81 al. 1 let. b LTF ; arrêts 7B_599/2024 du 3 juillet 2024 consid. 1; 6B_7/2018 du 17 octobre 2018 consid. 7.3; 6B_447/2014 du 30 octobre 2014 consid. 8).</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3.1).</w:t>
      </w:r>
    </w:p>
    <w:p>
      <w:r>
        <w:rPr>
          <w:b/>
        </w:rPr>
        <w:t>E. 2.2</w:t>
      </w:r>
    </w:p>
    <w:p>
      <w:r>
        <w:t>Le recourant commence son écriture par une présentation personnelle des faits et du déroulement de la procédure (ch. V "Bref résumé de la Problématique", p. 4 ss du mémoire de recours). De la sorte, il ne cherche pas à démontrer que les faits auraient été établis arbitrairement et ne formule aucun grief recevable au regard de l' art. 106 al. 2 LTF .</w:t>
      </w:r>
    </w:p>
    <w:p>
      <w:r>
        <w:rPr>
          <w:b/>
        </w:rPr>
        <w:t>E. 3</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4.1</w:t>
      </w:r>
    </w:p>
    <w:p>
      <w:r>
        <w:t>Le recourant ne conteste pas l'existence de charges suffisantes. Il reproche en revanche à l'autorité précédente d'avoir retenu des risques de fuite et de réitération, qu'aucune mesure de substitution ne saurait pallier. S'agissant du risque de réitération, il reproche en substance à la cour cantonale d'avoir retenu que sa libération au mois de mai 2023 n'avait pas mis un frein à ses agissements délictueux, alors que ceux-ci n'étaient finalement passibles que d'une peine privative de liberté de 11 mois. Une peine inférieure à une année relativiserait, selon lui, la gravité des actes commis. Par ailleurs, il n'avait pas récidivé de la pire des infractions retenues (atteinte à l'intégrité sexuelle) datant d'octobre 2023. Le fait d'avoir emporté une sacoche abandonnée sur le domaine public ne pourrait pas être allégué comme risque de récidive imminent.</w:t>
      </w:r>
    </w:p>
    <w:p>
      <w:r>
        <w:rPr>
          <w:b/>
        </w:rPr>
        <w:t>E. 4.2.1</w:t>
      </w:r>
    </w:p>
    <w:p>
      <w:r>
        <w:t>L' art. 221 al. 1 let . c CPP, dans sa teneur au 1er janvier 2024 (RO 2023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récente du Tribunal fédéral, l'application de cette disposition (risque de récidive simple) présuppose, pour placer un prévenu en détention avant jugement, que celui-ci ait déjà été reconnu coupable pour au moins deux infractions du même genre (arrêt 7B_1035/2024 du 19 novembre 2024 consid. 2.11 destiné à la publication). La prévention du risque de récidive doit permettre de faire prévaloir l'intérêt de la sécurité publique sur la liberté personnelle du prévenu ( ATF 137 IV 13 consid. 3 et 4; arrêt 7B_1089/2024 du 6 novembre 2024 consid. 3.2.2).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326 consid. 3.1 et les arrêts cités).</w:t>
      </w:r>
    </w:p>
    <w:p>
      <w:r>
        <w:rPr>
          <w:b/>
        </w:rPr>
        <w:t>E. 4.2.2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509 s. et les arrêts cités).</w:t>
      </w:r>
    </w:p>
    <w:p>
      <w:r>
        <w:rPr>
          <w:b/>
        </w:rPr>
        <w:t>E. 4.3</w:t>
      </w:r>
    </w:p>
    <w:p>
      <w:r>
        <w:t>La Chambre pénale de recours a tout d'abord considéré que le recourant présentait toujours un risque de réitération, quand bien même l'instruction touchait à sa fin. En effet, ni sa libération en mai 2023, ni ses différentes interpellations - et mises en liberté successives - n'avaient mis un frein à ses agissements délictueux. L'une des conditions de l'existence d'un risque au sens de l' art. 221 al. 1 CPP étant réalisée, la cour cantonale n'a pas examiné plus avant les risques de fuite. Elle a ensuite considéré qu'aucune mesure de substitution ne permettait d'atteindre les mêmes buts que la détention. Pour ce faire, elle s'est référée à son appréciation déjà exposée dans ses précédentes décisions, aucune modification dans la situation du recourant ne justifiant une appréciation différente.</w:t>
      </w:r>
    </w:p>
    <w:p>
      <w:r>
        <w:rPr>
          <w:b/>
        </w:rPr>
        <w:t>E. 4.4</w:t>
      </w:r>
    </w:p>
    <w:p>
      <w:r>
        <w:t>Le recourant n'apporte aucun élément susceptible de remettre en cause l'appréciation de l'autorité précédente, laquelle doit être confirmée. En effet, le recourant figure au casier judiciaire pour plusieurs condamnations antérieures en lien avec des infractions du même genre que celles faisant l'objet de la procédure ouverte contre lui. En outre, de nouvelles charges pèsent sur lui notamment depuis mai 2023. L'accumulation des charges liées à des atteintes au patrimoine laisse supposer une installation durable dans la délinquance. Le recourant n'a en effet pas mis un frein à ses agissements délictueux, que ce soit à la suite de l'ordonnance pénale contestée d'octobre 2022, de sa libération en mai 2023 ou de ses différentes interpellations ultérieures. Au contraire, les comportements adoptés postérieurement tendent à démontrer une escalade dans la dangerosité; le recourant est désormais également mis en cause pour s'en être pris à l'intégrité physique (cf. les lésions corporelles simples examinées) et psychique (cf. les injures et menaces reprochées) de tiers. Compte tenu de l'accélération de l'activité délictuelle du recourant et de l'augmentation de l'intensité de celle-ci, la cour cantonale pouvait retenir qu'il était à craindre que le recourant commette des actes plus graves en cas de libération. Ces considérations permettent également de confirmer l'absence de mesures de substitution propres à pallier le risque de récidive; les mesures proposées par le recourant (interdiction de fréquenter certains lieux, interdiction de s'emparer d'objets trouvés dans la rue, interdiction de sortir le week-end à certaines heures) apparaissent manifestement impropres à prévenir ce risque.</w:t>
      </w:r>
    </w:p>
    <w:p>
      <w:r>
        <w:rPr>
          <w:b/>
        </w:rPr>
        <w:t>E. 4.5</w:t>
      </w:r>
    </w:p>
    <w:p>
      <w:r>
        <w:t>Sur le vu de ce qui précède, la Chambre pénale de recours n'a pas violé le droit fédéral en retenant un risque de récidive qu'aucune mesure de substitution ne permettait en l'état de réduire.</w:t>
      </w:r>
    </w:p>
    <w:p>
      <w:r>
        <w:rPr>
          <w:b/>
        </w:rPr>
        <w:t>E. 5.1</w:t>
      </w:r>
    </w:p>
    <w:p>
      <w:r>
        <w:t>Le recourant soutient qu'il aurait fallu tenir compte de la possibilité d'une libération aux deux tiers de la peine d'ensemble encourue de 11 mois désormais établie par la délivrance de l'acte d'accusation. Par cette critique, il cherche à se plaindre d'une violation du principe de la proportionnalité en lien avec la durée de sa détention provisoire.</w:t>
      </w:r>
    </w:p>
    <w:p>
      <w:r>
        <w:rPr>
          <w:b/>
        </w:rPr>
        <w:t>E. 5.2</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arrêts 7B_1195/2024 du 27 novembre 2024; 7B_907/2024 du 23 septembre 2024 consid. 5.2.2 et l'arrêt cité). 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 7B_907/2024 du 23 septembe 2024 consid. 5.2.3 et l'arrêt cité).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7B_1000/2023 du 11 janvier 2024 consid. 5.1.2 et la référence citée).</w:t>
      </w:r>
    </w:p>
    <w:p>
      <w:r>
        <w:rPr>
          <w:b/>
        </w:rPr>
        <w:t>E. 5.3</w:t>
      </w:r>
    </w:p>
    <w:p>
      <w:r>
        <w:t>La Chambre pénale de recours a retenu que la détention ordonnée, soit 228 jours au jour du jugement, ne violait pas le principe de la proportionnalité puisque que le recourant s'exposait à une peine privative de liberté de 11 mois. Au demeurant, le maintien en détention pour des motifs de sûreté au-delà d'une durée correspondant aux deux tiers de la peine privative de liberté n'était pas en soi disproportionnée, ce d'autant moins qu'au vu des très nombreux antécédents (15 condamnations depuis mai 2015), l'octroi d'une libération conditionnelle n'apparaissait pas d'emblée évidente.</w:t>
      </w:r>
    </w:p>
    <w:p>
      <w:r>
        <w:rPr>
          <w:b/>
        </w:rPr>
        <w:t>E. 5.4</w:t>
      </w:r>
    </w:p>
    <w:p>
      <w:r>
        <w:t>Le raisonnement de la Chambre pénale de recours ne prête pas le flanc à la critique et le recourant n'apporte aucun argument susceptible de le remettre en cause. En effet, la durée de sa détention, prolongée pour des motifs de sûreté jusqu'au 18 février 2025 par ordonnance du TMC du 24 décembre 2024, confirmée par l'autorité précédente le 27 janvier 2025, ne dépassait pas la peine encourue. De plus, contrairement à ce que soutient le recourant, il n'y a pas lieu de tenir compte de la possibilité d'une libération conditionnelle par l'autorité de jugement lorsque cette hypothèse n'apparaît pas d'emblée évidente. En l'occurrence, tel n'apparaît pas être le cas, compte tenu notamment des nombreux antécédents du recourant (cf. ATF 133 IV 201 consid. 2.2 et 2.3 et les références citées).</w:t>
      </w:r>
    </w:p>
    <w:p>
      <w:r>
        <w:rPr>
          <w:b/>
        </w:rPr>
        <w:t>E. 6</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