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7B_191/2023 vom 14. März 2024</w:t>
      </w:r>
    </w:p>
    <w:p>
      <w:r>
        <w:t>Bundesgericht, 2024-03-14, FR</w:t>
      </w:r>
    </w:p>
    <w:p>
      <w:r>
        <w:rPr>
          <w:b/>
        </w:rPr>
        <w:t xml:space="preserve">Quelle: </w:t>
      </w:r>
      <w:r>
        <w:t>https://mcp.opencaselaw.ch/entscheid/bger_7B_191_2023</w:t>
      </w:r>
    </w:p>
    <w:p>
      <w:r>
        <w:t>FR: TF 7B_191/2023 du 14 mars 2024</w:t>
      </w:r>
    </w:p>
    <w:p>
      <w:r>
        <w:t>IT: TF 7B_191/2023 del 14 marzo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 146 IV 185 consid. 2).</w:t>
      </w:r>
    </w:p>
    <w:p>
      <w:r>
        <w:rPr>
          <w:b/>
        </w:rPr>
        <w:t>E. 1.1</w:t>
      </w:r>
    </w:p>
    <w:p>
      <w:r>
        <w:t>L'arrêt attaqué, qui confirme le maintien du séquestre sur des comptes bancaires, est un prononcé rendu en matière pénale au sens de l' art. 78 al. 1 LTF .</w:t>
      </w:r>
    </w:p>
    <w:p>
      <w:r>
        <w:t>Le séquestre pénal étant une décision à caractère incident, le recours n'est recevable que si l'acte attaqué est susceptible de causer un préjudice irréparable ( art. 93 al. 1 let. a LTF ; ATF 140 IV 57 consid. 2.3). En matière de séquestre, un tel préjudice est généralement reconnu au détenteur qui se trouve privé temporairement de la libre disposition de l'objet et/ou des valeurs saisis ( ATF 128 I 129 consid. 1; arrêt 1B_123/2022 du 9 août 2022 consid. 1); tel est le cas en l'occurrence dès lors que les recourants sont les titulaires des relations bancaires séquestrées. Pour ce même motif, ils disposent d'un intérêt juridique à obtenir l'annulation ou la modification de l'arrêt entrepris (cf. art. 81 al. 1 let. a et b LTF ; ATF 133 IV 278 consid. 1.3; arrêt 1B_623/2022 du 1er juin 2023 consid. 2).</w:t>
      </w:r>
    </w:p>
    <w:p>
      <w:r>
        <w:t>Pour le surplus, les autres conditions de recevabilité - dont le dépôt en temps utile des recours (cf. art. 100 al. 1 LTF ) - étant réalisées, il y a lieu d'entrer en matière sur le recours.</w:t>
      </w:r>
    </w:p>
    <w:p>
      <w:r>
        <w:rPr>
          <w:b/>
        </w:rPr>
        <w:t>E. 1.2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24 avril 2023, il n'y a donc pas lieu en l'espèce de prendre en compte les modifications du Code de procédure pénale entrées en vigueur au 1er janvier 2024 (RO 2023 468; arrêts 7B_1008/2023 du 12 janvier 2024 consid. 2.2; 7B_997/2023 du 4 janvier 2024 consid. 1.2).</w:t>
      </w:r>
    </w:p>
    <w:p>
      <w:r>
        <w:rPr>
          <w:b/>
        </w:rPr>
        <w:t>E. 2.1</w:t>
      </w:r>
    </w:p>
    <w:p>
      <w:r>
        <w:t>Se référant à l'art. 71 al. 3 aCP (dans sa teneur eu vigueur jusqu'au 31 décembre 2023; RO 2006 3459; FF 1999 1787), ainsi qu'aux art. 197 et 263 CPP , les recourants reprochent en substance à la cour cantonale d'avoir admis l'existence de soupçons suffisants à leur endroit et d'avoir confirmé les séquestres de leurs comptes bancaires. A l'appui de leur thèse, ils invoquent en particulier que les faits auraient été établis de manière manifestement inexacte.</w:t>
      </w:r>
    </w:p>
    <w:p>
      <w:r>
        <w:rPr>
          <w:b/>
        </w:rPr>
        <w:t>E. 2.2</w:t>
      </w:r>
    </w:p>
    <w:p>
      <w:r>
        <w:t>A teneur de l' art. 197 al. 1 CPP , les mesures de contrainte ne peuvent être prises qu'aux conditions suivantes: elles sont prévues par la loi (let. a); des soupçons suffisants laissent présumer une infraction (let. b); les buts poursuivis ne peuvent pas être atteints par des mesures moins sévères (let. c); elles apparaissent justifiées au regard de la gravité de l'infraction (let. d). Les mesures de contrainte qui portent atteinte aux droits fondamentaux des personnes qui n'ont pas le statut de prévenu sont appliquées avec une retenue particulière ( art. 197 al. 2 CPP ).</w:t>
      </w:r>
    </w:p>
    <w:p>
      <w:r>
        <w:rPr>
          <w:b/>
        </w:rPr>
        <w:t>E. 2.3.1</w:t>
      </w:r>
    </w:p>
    <w:p>
      <w:r>
        <w:t>Jusqu'au 31 décembre 2023, le Code de procédure pénale ne prévoyait pas expressément, ainsi qu'il le faisait pour le séquestre en vue de la confiscation (cf. art. 263 al. 1 let . d CPP), de disposition permettant le séquestre en vue de garantir une créance compensatrice; depuis le 1</w:t>
      </w:r>
    </w:p>
    <w:p>
      <w:r>
        <w:t>er janvier 2024, pour des raisons de clarté, la mesure de séquestre dans un tel cas de figure - qui était jusqu'alors prévue dans le Code pénal (cf. art. 71 al. 3, 1re phrase, aCP) - a été reprise dans une teneur identique par le nouvel art. 263 al. 1 let . e CPP; la disposition figurant dans le Code pénal a pour sa part été abrogée (cf. Message du 28 août 2019 concernant la modification du Code de procédure pénale, in FF 2019 6351, spéc. p. 6406).</w:t>
      </w:r>
    </w:p>
    <w:p>
      <w:r>
        <w:t>Selon l' art. 263 al. 1 CPP , dans sa nouvelle teneur, non applicable ici (cf. consid. 1.2</w:t>
      </w:r>
    </w:p>
    <w:p>
      <w:r>
        <w:t>supra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 art. 71 CP (let. e).</w:t>
      </w:r>
    </w:p>
    <w:p>
      <w:r>
        <w:rPr>
          <w:b/>
        </w:rPr>
        <w:t>E. 2.3.2</w:t>
      </w:r>
    </w:p>
    <w:p>
      <w:r>
        <w:t>Un séquestre est une mesure fondée sur la vraisemblance ( ATF 143 IV 357 consid. 1.2.3 et les arrêts cités); elle porte sur des objets dont on peut admettre,</w:t>
      </w:r>
    </w:p>
    <w:p>
      <w:r>
        <w:t>prima facie , qu'ils pourront être confisqués en application du droit pénal fédéral. Tant que l'instruction n'est pas achevée et que subsiste une probabilité de confiscation, de créance compensatrice ou d'une allocation au lésé, la mesure conservatoire doit être maintenue ( ATF 141 IV 360 consid. 3.2; 140 IV 57 consid. 4.1.1); l'intégralité des fonds doit demeurer à disposition de la justice aussi longtemps qu'il existe un doute sur la part de ceux-ci qui pourrait provenir d'une activité criminelle (arrêts 7B_185/2023 du 26 juillet 2023 consid. 2.1; 1B_398/2022 du 13 décembre 2022 consid. 5.3). Un séquestre ne peut donc être levé que dans l'hypothèse où il est d'emblée manifeste et indubitable que les conditions matérielles d'une confiscation ne sont pas réalisées et ne pourront pas l'être ( ATF 140 IV 133 consid. 4.2.1; 139 IV 250 consid. 2.1; arrêt 1B_527/2022 du 21 avril 2023 consid. 2.1). Cependant, les probabilités d'une confiscation, respectivement du prononcé d'une créance compensatrice, doivent se renforcer au cours de l'instruction ( ATF 122 IV 91 consid. 4; arrêt 1B_398/2022 du 13 décembre 2022 consid. 5.3). L'autorité doit pouvoir statuer rapidement (cf. art. 263 al. 2 CPP ), ce qui exclut qu'elle résolve des questions juridiques complexes ou qu'elle attende d'être renseignée de manière exacte et complète sur les faits avant d'agir ( ATF 141 IV 360 consid. 3.2; arrêt 7B_185/2023 précité consid. 2.1).</w:t>
      </w:r>
    </w:p>
    <w:p>
      <w:r>
        <w:t>Un séquestre peut apparaître disproportionné lorsque la procédure dans laquelle il s'inscrit s'éternise sans motifs suffisants ( ATF 132 I 229 consid. 11.6). Cela s'examine notamment au vu du stade de l'enquête, de la complexité de l'affaire, du nombre de parties, des éléments d'extranéité et des mesures d'instruction en cours (arrêts 7B_17/2022 du 18 juillet 2023 consid. 2.1.2; 1B_117/2022 du 18 mai 2022 consid. 4.1 et les arrêts cités). Il faut en outre que la quotité de cette mesure reste en rapport avec le produit de l'infraction poursuivie ( ATF 130 II 329 consid. 6; arrêt 7B_17/2022 précité consid. 2.1.2).</w:t>
      </w:r>
    </w:p>
    <w:p>
      <w:r>
        <w:rPr>
          <w:b/>
        </w:rPr>
        <w:t>E. 2.3.3</w:t>
      </w:r>
    </w:p>
    <w:p>
      <w:r>
        <w:t>Aux termes de l' art. 70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w:t>
      </w:r>
    </w:p>
    <w:p>
      <w:r>
        <w:t>Le but poursuivi au travers de l' 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et les références citées; 141 IV 155 consid. 4.1).</w:t>
      </w:r>
    </w:p>
    <w:p>
      <w:r>
        <w:t>Selon la jurisprudence, les règles sur la confiscation doivent être appliquées de manière restrictive lorsque des tiers non enrichis sont concernés (arrêts 7B_17/2022 du 18 juillet 2023 consid. 2.1.3; 6B_1017/2022 du 7 juin 2023 consid. 7.1.2; 1B_343/2019 du 23 janvier 2020 consid. 4.1). L'esprit et le but de la confiscation excluent en effet que la mesure puisse porter préjudice à des valeurs acquises de bonne foi dans le cadre d'un acte juridique conforme à la loi ( ATF 115 IV 175 consid. 2b/bb; arrêt 7B_17/2022 précité consid. 2.1.3). Les conditions posées à l' art. 70 al. 2 CP - soit d'une part la bonne foi du tiers et d'autre part la contre-prestation adéquate ou la rigueur excessive d'une éventuelle confiscation ultérieure - sont cumulatives (arrêts 7B_17/2022 du 18 juillet 2023 consid. 2.1.3; 1B_623/2022 du 1</w:t>
      </w:r>
    </w:p>
    <w:p>
      <w:r>
        <w:t>er juin 2023 consid. 3.2.2).</w:t>
      </w:r>
    </w:p>
    <w:p>
      <w:r>
        <w:rPr>
          <w:b/>
        </w:rPr>
        <w:t>E. 2.3.4</w:t>
      </w:r>
    </w:p>
    <w:p>
      <w:r>
        <w:t>En vertu de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w:t>
      </w:r>
    </w:p>
    <w:p>
      <w:r>
        <w:t>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 ATF 141 IV 360 consid. 3.2; 140 IV 57 consid. 4.1.2 et les références citées).</w:t>
      </w:r>
    </w:p>
    <w:p>
      <w:r>
        <w:rPr>
          <w:b/>
        </w:rPr>
        <w:t>E. 2.4</w:t>
      </w:r>
    </w:p>
    <w:p>
      <w:r>
        <w:t>L' 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w:t>
      </w:r>
    </w:p>
    <w:p>
      <w:r>
        <w:rPr>
          <w:b/>
        </w:rPr>
        <w:t>E. 2.5</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7B_266/2023 du 6 décembre 2023 consid. 2.2).</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356 consid. 2.1).</w:t>
      </w:r>
    </w:p>
    <w:p>
      <w:r>
        <w:rPr>
          <w:b/>
        </w:rPr>
        <w:t>E. 2.6</w:t>
      </w:r>
    </w:p>
    <w:p>
      <w:r>
        <w:t>La cour cantonale a souligné en préambule que si une instruction avait bien été ouverte contre le recourant A.________, aucun chef de prévention ne lui avait encore été signifié formellement, l'enquête en étant à ses prémices. A ce stade précoce de l'enquête, une simple probabilité que les infractions avaient été commises suffisait à fonder la mesure de séquestre litigieuse.</w:t>
      </w:r>
    </w:p>
    <w:p>
      <w:r>
        <w:t>Ce raisonnement, d'ailleurs non contesté, peut être confirmé. On rappelle à cet égard qu'il n'appartient pas au juge du séquestre, qui statue sous l'angle de la vraisemblance, d'établir avec certitude la provenance délictueuse des fonds séquestrés ni de qualifier de manière définitive l'infraction en cause. Il suffit qu'il soit vraisemblable que les fonds en question soient le produit d'une activité criminelle (cf. arrêt 1B_143/2022 du 30 août 2022 consid. 4.3 et les arrêts cités; pour le surplus, cf. consid. 2.3.2</w:t>
      </w:r>
    </w:p>
    <w:p>
      <w:r>
        <w:t>supra ).</w:t>
      </w:r>
    </w:p>
    <w:p>
      <w:r>
        <w:rPr>
          <w:b/>
        </w:rPr>
        <w:t>E. 2.6.1</w:t>
      </w:r>
    </w:p>
    <w:p>
      <w:r>
        <w:t>S'agissant du soupçon de culpabilité de gestion déloyale, la cour cantonale a retenu que des acomptes semblaient avoir été versés par les plaignants aux sociétés recourantes; en outre, des sous-traitants et maîtres d'état paraissaient ne pas avoir été payés par l'entreprise générale dont le recourant A.________ était administrateur unique. Ces comportements avaient justifié l'inscription d'hypothèques légales provisoires sur les biens des plaignants. Par conséquent, il n'était à ce stade pas exclu que tout ou partie du montant global des acomptes ait été affecté à d'autres fins que la gestion scrupuleuse des intérêts des sociétés gérées par le prénommé. Dans ce contexte, les intérêts des plaignants pourraient justifier une créance compensatrice.</w:t>
      </w:r>
    </w:p>
    <w:p>
      <w:r>
        <w:t>Les recourants affirment de manière lapidaire que la motivation cantonale serait "relativement sommaire". Le raisonnement querellé est certes concis, il décrit cependant les éléments permettant de comprendre les comportements pris en considération par l'autorité cantonale à ce stade de l'enquête pour déterminer la vraisemblance des soupçons (cf. sur la violation du droit d'être entendu, entre autres, arrêt 7B_715/2023 du 13 novembre 2023 consid. 3.1). Pour autant que les recourants aient bien invoqué une violation de leur droit d'être entendus, on n'en décèle aucune.</w:t>
      </w:r>
    </w:p>
    <w:p>
      <w:r>
        <w:t>Les recourants soutiennent que la recourante 2 aurait sous-traité la réalisation de la totalité des travaux de construction à une entreprise tierce et que les acomptes des plaignants auraient été versés à cette dernière. Ce faisant, ils basent leur argumentation sur des faits qu'ils invoquent librement, dans une démarche strictement appellatoire, partant irrecevable. Autrement dit, ils ne parviennent pas à démontrer, ni même ne tentent de démontrer, que la cour cantonale aurait établi les faits de manière arbitraire. Au demeurant, contrairement à ce qu'ils affirment, on comprend à la lecture de l'arrêt querellé qu'à tout le moins une partie des travaux semble avoir été effectuée par des sous-traitants (cf. arrêt cantonal, let. A.c et consid. 2.4, 3</w:t>
      </w:r>
    </w:p>
    <w:p>
      <w:r>
        <w:t>e §), de sorte que l'intervention de tiers n'a pas été ignorée par l'autorité précédente. Au surplus, l'intervention du sous-traitant invoquée par les recourants n'a, à ce stade, pas d'incidence sur l'issue du présent litige.</w:t>
      </w:r>
    </w:p>
    <w:p>
      <w:r>
        <w:t>Quoi qu'il en soit, l'arrêt querellé a retenu, sous l'angle de la vraisemblance, le versement d'acomptes aux sociétés recourantes, l'absence de paiement de maîtres d'état ayant entraîné l'inscription d'hypothèques légales sur les biens des plaignants. Ces éléments ont été pris en considération à un stade précoce de l'enquête, le séquestre ayant été prononcé alors qu'aucun chef de prévention n'avait encore été signifié. A cet égard, la cour cantonale était fondée à souligner, comme elle l'a fait à plusieurs reprises, que l'enquête ne faisait que débuter et qu'il n'était pas possible, à ce stade, d'écarter certains agissements. Dans ces circonstances, il n'est pas exclu que les comportements décrits ci-dessus réalisent les conditions de l'infraction de gestion déloyale des intérêts des sociétés recourantes. Il n'est pas non plus exclu que ces comportements aient entraîné directement ou indirectement un avantage économique illicite déterminable de façon comptable en prenant la forme d'une augmentation de l'actif, d'une diminution du passif, d'une non-diminution de l'actif ou d'une non-augmentation du passif (cf. ATF 144 IV 1 consid. 4.2.2) du patrimoine du recourant 1. Ainsi, au moment du prononcé de son arrêt, la cour cantonale n'a pas violé le droit fédéral en considérant, au degré de la vraisemblance, que des soupçons suffisants de gestion déloyale des intérêts des sociétés recourantes permettaient à ce stade très précoce de prononcer le séquestre du compte bancaire du recourant 1.</w:t>
      </w:r>
    </w:p>
    <w:p>
      <w:r>
        <w:t>La cour cantonale a considéré que les plaignants semblaient disposer d'intérêts justifiant l'allocation d'une créance compensatrice en leur faveur. Il paraît cependant douteux que ceux-ci soient lésés par le comportement en cause. Cette question peut cependant demeurer indécise à ce stade. Il appartiendra, le cas échéant, au juge du fond de déterminer le sort des valeurs patrimoniales en jeu (cf. art. 70 al. 1</w:t>
      </w:r>
    </w:p>
    <w:p>
      <w:r>
        <w:t>in fine CP).</w:t>
      </w:r>
    </w:p>
    <w:p>
      <w:r>
        <w:rPr>
          <w:b/>
        </w:rPr>
        <w:t>E. 2.6.2</w:t>
      </w:r>
    </w:p>
    <w:p>
      <w:r>
        <w:t>Les recourants font ensuite grief à la cour cantonale d'avoir admis l'existence d'un soupçon de contrainte ( art. 181 CP ) contre les recourants 1 et 2.</w:t>
      </w:r>
    </w:p>
    <w:p>
      <w:r>
        <w:t>La cour cantonale a retenu que la recourante 2, agissant par le recourant 1, avait envoyé des commandements de payer à quatre plaignants qui les avaient jugés injustifiés. L'autorité précédente a considéré qu'il était à ce stade difficile d'évaluer dans quelle mesure ce comportement ressortissait de la pure tentative d'intimidation au sens de l' art. 181 CP ou résultait seulement d'une divergence d'interprétation du contrat d'entreprise relevant exclusivement du droit civil; les recourants justifiaient en effet la facturation des travaux objets de l'envoi des commandements de payer litigieux notamment par des exigences subséquentes des CFF quant à l'aménagement des parcelles. La cour cantonale a cependant estimé qu'à ce stade embryonnaire de l'instruction, la question pouvait demeurer indécise, dès lors que la simple probabilité de la commission de l'infraction apparaissait suffisante.</w:t>
      </w:r>
    </w:p>
    <w:p>
      <w:r>
        <w:t>En l'espèce, il ne ressort pas de l'arrêt cantonal que les recourants concernés auraient retiré un quelconque gain de cette infraction. Celle-ci est au surplus envisagée au stade de la tentative, de sorte qu'on ne voit pas dans le cas d'espèce que les intéressés pourraient en avoir retiré un avantage patrimonial. La cour cantonale a dès lors violé le droit fédéral en confirmant le prononcé d'un séquestre sur la base de cette infraction, la question de l'existence d'un soupçon de réalisation de l'infraction pouvant demeurer indécise.</w:t>
      </w:r>
    </w:p>
    <w:p>
      <w:r>
        <w:rPr>
          <w:b/>
        </w:rPr>
        <w:t>E. 2.6.3</w:t>
      </w:r>
    </w:p>
    <w:p>
      <w:r>
        <w:t>Les recourants soutiennent également qu'aucun soupçon de culpabilité pénale n'existerait contre la recourante 3.</w:t>
      </w:r>
    </w:p>
    <w:p>
      <w:r>
        <w:t>La cour cantonale a retenu que la recourante 3 avait vendu les terrains, encaissé leur prix et assuré la promotion des lots, mais ne semblait pas réellement suspectée d'avoir agi de façon répréhensible, apparaissant à ce stade seulement comme la récipiendaire de certains acomptes versés. Il n'était dès lors pas exclu, sous l'angle de l' art. 70 al. 2 CP , que l'éventuelle bonne foi de la recourante 3 puisse justifier le refus du prononcé d'une créance compensatrice portant sur ses avoirs. La cour cantonale a cependant une nouvelle fois considéré que cet examen était largement prématuré à ce stade précoce de l'instruction.</w:t>
      </w:r>
    </w:p>
    <w:p>
      <w:r>
        <w:t>Ce raisonnement ne prête pas le flanc à la critique. Les recourants se contentent sur ce point de se prévaloir de l'absence de soupçons contre la recourante 3. Il ne font cependant pas valoir que la cour cantonale aurait appliqué de manière erronée l' art. 70 al. 2 CP ou, en d'autres termes, qu'elle aurait dû renoncer au séquestre sur la base de cette disposition. Faute de motivation suffisante, ce grief se révèle irrecevable (cf. art. 42 al. 2 LTF ). En outre, le fait que le comportement de cette société ne soit pas remis en cause par certains propriétaires n'est pas déterminant dans le cas d'espèce. En tout état, l'instruction pénale a été ouverte le 7 février 2023 et le séquestre en cause prononcé le même jour. La cour cantonale n'a par conséquent pas violé le droit fédéral en confirmant le séquestre dans la mesure où l'instruction en était, comme on l'a déjà vu, à ses balbutiements.</w:t>
      </w:r>
    </w:p>
    <w:p>
      <w:r>
        <w:t>Dans cette mesure, les arguments développés par les recourants en lien avec l'établissement des faits - notamment l'absence de conclusion de contrats d'entreprise entre la recourante 3 et les plaignants - peuvent être écartés. Quoi qu'il en soit, la cour cantonale ne s'est pas fondée sur la conclusion de tels contrats pour confirmer les séquestres destinés à garantir le prononcé d'une éventuelle créance compensatrice. A raison, dans la mesure où la jurisprudence en la matière ne requiert pas de lien de connexité entre les valeurs patrimoniales concernées et les faits faisant l'objet de l'instruction pénale (cf. 2.3.4</w:t>
      </w:r>
    </w:p>
    <w:p>
      <w:r>
        <w:t>supra ).</w:t>
      </w:r>
    </w:p>
    <w:p>
      <w:r>
        <w:rPr>
          <w:b/>
        </w:rPr>
        <w:t>E. 2.7</w:t>
      </w:r>
    </w:p>
    <w:p>
      <w:r>
        <w:t>Les recourants font encore valoir que le séquestre des comptes privés du recourant A.________ serait disproportionné; il ne pourrait en effet plus disposer de ses avoirs pour subvenir à ses charges courantes et à celles de sa famille.</w:t>
      </w:r>
    </w:p>
    <w:p>
      <w:r>
        <w:t>Sur ce point, les recourants ne développent aucune argumentation conforme à leurs obligations en matière de motivation (cf. les art. 42, 97 et 106 al. 2 LTF ), se contentant de simples affirmations qui ne résultent pas de l'état de fait de l'arrêt querellé. Le grief se révèle dès lors irrecevable.</w:t>
      </w:r>
    </w:p>
    <w:p>
      <w:r>
        <w:t>Quoi qu'il en soit, la cour cantonale a, dans un raisonnement pertinent, considéré qu'il était non seulement utile, mais également nécessaire, à ce stade de l'enquête, que les fonds litigieux demeurent à disposition de la justice; le but poursuivi ne pouvait pas être assuré par une mesure moins sévère, de sorte que le principe de la proportionnalité était respecté. Les recourants reprochaient certes au Ministère public de n'avoir pas examiné une éventuelle atteinte à leur minimum vital; force était cependant de constater qu'ils n'en tiraient aucun argument et ne faisaient pas formellement valoir une telle atteinte. S'ils entendaient faire constater le non-respect de leurs conditions minimales d'existence, il leur appartiendrait de démontrer leur situation financière et de requérir, le cas échéant, une levée partielle du séquestre.</w:t>
      </w:r>
    </w:p>
    <w:p>
      <w:r>
        <w:rPr>
          <w:b/>
        </w:rPr>
        <w:t>E. 2.8</w:t>
      </w:r>
    </w:p>
    <w:p>
      <w:r>
        <w:t>Les recourants semblent enfin se plaindre d'une violation du principe de la célérité. Ils soutiennent sur ce point qu'alors que les plaintes pénales ont été déposées les 19 décembre 2022 et 30 janvier 2023, le Ministère public n'aurait procédé à aucune mesure d'instruction, à l'exception des séquestres litigieux.</w:t>
      </w:r>
    </w:p>
    <w:p>
      <w:r>
        <w:t>En l'espèce, quoi que soutiennent les recourants, le Ministère public a ouvert une instruction pénale sans tarder et a prononcé les séquestres en cause par ordonnances du 7 février 2023. En outre, l'arrêt querellé a été rendu le 24 avril 2023, soit moins de trois mois après l'ouverture de la procédure. L'enquête en étant à ses débuts, on ne saurait à cet égard considérer qu'au jour du prononcé de l'arrêt querellé, la procédure se serait éternisée sans motifs suffisants (cf. consid. 2.3.2</w:t>
      </w:r>
    </w:p>
    <w:p>
      <w:r>
        <w:t>supra ). Le grief doit dès lors être rejeté.</w:t>
      </w:r>
    </w:p>
    <w:p>
      <w:r>
        <w:rPr>
          <w:b/>
        </w:rPr>
        <w:t>E. 2.9</w:t>
      </w:r>
    </w:p>
    <w:p>
      <w:r>
        <w:t>En définitive, la cour cantonale n'a pas violé le droit fédéral en confirmant, sur la base des éléments à sa disposition à un stade précoce de la procédure, les séquestres ordonnés par le Ministère public sur les comptes bancaires du recourant 1 et de la recourante 3. Cela étant, afin de respecter le principe de la proportionnalité, il incombera au Ministère public de vérifier le caractère proportionné des séquestres au gré de l'avancement de l'enquête et, le cas échéant, de lever partiellement ou totalement cette mesure.</w:t>
      </w:r>
    </w:p>
    <w:p>
      <w:r>
        <w:t>S'agissant de la recourante 2, la cour cantonale a maintenu le séquestre sur ses comptes au motif de soupçons suffisants laissant présumer la réalisation d'une tentative de contrainte; cependant, aucun avantage économique n'étant résulté de ce comportement, l'autorité précédente a violé le droit fédéral en confirmant le séquestre des comptes de la recourante 2 sur cette seule base (cf. consid. 2.6.2</w:t>
      </w:r>
    </w:p>
    <w:p>
      <w:r>
        <w:t>supra ). Il convient par conséquent d'annuler l'arrêt attaqué et de renvoyer la cause à l'autorité précédente pour qu'elle rende une nouvelle décision concernant les séquestres des comptes de la recourante 2. Dans l'attente d'un nouvel arrêt, la mesure de séquestre litigieuse doit être maintenue.</w:t>
      </w:r>
    </w:p>
    <w:p>
      <w:r>
        <w:rPr>
          <w:b/>
        </w:rPr>
        <w:t>E. 3</w:t>
      </w:r>
    </w:p>
    <w:p>
      <w:r>
        <w:t>Il s'ensuit que le recours doit être partiellement admis, l'arrêt attaqué annulé et la cause renvoyée à la cour cantonale afin qu'elle statue à nouveau dans le sens des considérants; ce faisant, elle se déterminera également sur les frais et indemnités de la procédure cantonale. L'arrêt doit être confirmé pour le surplus.</w:t>
      </w:r>
    </w:p>
    <w:p>
      <w:r>
        <w:t>La recourante 2, qui obtient gain de cause, a droit à des dépens, à la charge du canton de Vaud ( art. 68 al. 2 LTF ). Des frais judiciaires, réduits, sont mis à la charge des recourants 1 et 3, qui succombent, solidairement entre eux ( art. 66 al. 1, 4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