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7B_190/2026 vom 19. März 2026</w:t>
      </w:r>
    </w:p>
    <w:p>
      <w:r>
        <w:t>Bundesgericht, 2026-03-19, DE</w:t>
      </w:r>
    </w:p>
    <w:p>
      <w:r>
        <w:rPr>
          <w:b/>
        </w:rPr>
        <w:t xml:space="preserve">Quelle: </w:t>
      </w:r>
      <w:r>
        <w:t>https://mcp.opencaselaw.ch/entscheid/bger_7B_190_2026</w:t>
      </w:r>
    </w:p>
    <w:p>
      <w:r>
        <w:t>FR: TF 7B_190/2026 du 19 mars 2026</w:t>
      </w:r>
    </w:p>
    <w:p>
      <w:r>
        <w:t>IT: TF 7B_190/2026 del 19 marzo 2026</w:t>
      </w:r>
    </w:p>
    <w:p>
      <w:pPr>
        <w:pStyle w:val="Heading2"/>
      </w:pPr>
      <w:r>
        <w:t>Erwägungen</w:t>
      </w:r>
    </w:p>
    <w:p>
      <w:r>
        <w:rPr>
          <w:b/>
        </w:rPr>
        <w:t>E. 1</w:t>
      </w:r>
    </w:p>
    <w:p>
      <w:r>
        <w:t>Angefochten ist ein Entscheid über die Entsiegelung von Datenträgern,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2.1</w:t>
      </w:r>
    </w:p>
    <w:p>
      <w:r>
        <w:t>Der Entscheid der Vorinstanz schliesst das Strafverfahren nicht ab. Er kann deshalb nur unter den Voraussetzungen von Art. 92 und 93 BGG angefochten werden. Die Beschwerde ist insbesondere zulässig, wenn er einen nicht wieder gutzumachenden Nachteil bewirken kann ( Art. 93 Abs. 1 lit. a BGG ).</w:t>
      </w:r>
    </w:p>
    <w:p>
      <w:r>
        <w:rPr>
          <w:b/>
        </w:rPr>
        <w:t>E. 2.2</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BGE 151 IV 344 E. 2.2 mit Hinweisen).</w:t>
      </w:r>
    </w:p>
    <w:p>
      <w:r>
        <w:rPr>
          <w:b/>
        </w:rPr>
        <w:t>E. 2.3</w:t>
      </w:r>
    </w:p>
    <w:p>
      <w:r>
        <w:t>Der Beschwerdeführer führt zum Drohen eines nicht wieder gutzumachenden Nachteils lediglich aus, das Haftgericht habe in der angefochtenen Verfügung "anerkannt, dass sich schützenswerte Anwaltskorrespondenz auf dem Mobiltelefon sowie dem Notebook" befinde, weshalb die Voraussetzungen von Art. 93 Abs. 1 lit. a BGG erfüllt seien.</w:t>
      </w:r>
    </w:p>
    <w:p>
      <w:r>
        <w:rPr>
          <w:b/>
        </w:rPr>
        <w:t>E. 2.4</w:t>
      </w:r>
    </w:p>
    <w:p>
      <w:r>
        <w:t>Der Beschwerdeführer übersieht, dass er vor Bundesgericht substanziiert darzulegen hat, woraus sich der nicht wieder gutzumachende Nachteil ergeben soll, sofern dies nicht offensichtlich ist ( BGE 150 III 248 E. 1.2). Die Vorinstanz hat hinsichtlich der schützenswerten Anwaltskorrespondenz eine Triage vorgenommen, sie also gerade</w:t>
      </w:r>
    </w:p>
    <w:p>
      <w:r>
        <w:t>nicht zur Durchsuchung und weiteren Verwendung im Strafverfahren freigegeben. Zwar besteht immer die theoretische Möglichkeit, dass nicht sämtliche geschützten Geheimnisse im Sinne von Art. 248 StPO im Rahmen der Triage ausgesondert worden sind. Dies reicht nach der Rechtsprechung indessen nicht aus, um einen drohenden nicht wieder gutzumachenden Nachteil im Sinne von Art. 93 Abs. 1 lit. a BGG zu begründen. Vielmehr hat der Beschwerdeführer diesfalls konkret aufzuzeigen, weshalb die Triage als fehlerhaft zu betrachten sei und daher trotz deren Durchführung die Offenlegung von geschützten Geheimnissen drohe (siehe Urteil 7B_408/2024 vom 2. Oktober 2025 E. 2.5.3). Dass Letzteres hier der Fall wäre, wird vom Beschwerdeführer nicht behauptet und ist auch nicht ersichtlich. Mit seinem pauschalen Hinweis auf "schützenswerte Anwaltskorrespondenz" gelingt es ihm somit nicht, einen drohenden nicht wieder gutzumachenden Nachteil im Sinne von Art. 93 Abs. 1 lit. a BGG darzulegen.</w:t>
      </w:r>
    </w:p>
    <w:p>
      <w:r>
        <w:rPr>
          <w:b/>
        </w:rPr>
        <w:t>E. 3</w:t>
      </w:r>
    </w:p>
    <w:p>
      <w:r>
        <w:t>Nach dem Gesagten ist auf die Beschwerde nicht einzutreten. Bei diesem Ausgang des Verfahrens sind die Gerichtskosten dem Beschwerdeführer aufzuerlegen und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