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7B_18/2025 vom 19. Februar 2025</w:t>
      </w:r>
    </w:p>
    <w:p>
      <w:r>
        <w:t>Bundesgericht, 2025-02-19, DE</w:t>
      </w:r>
    </w:p>
    <w:p>
      <w:r>
        <w:rPr>
          <w:b/>
        </w:rPr>
        <w:t xml:space="preserve">Quelle: </w:t>
      </w:r>
      <w:r>
        <w:t>https://mcp.opencaselaw.ch/entscheid/bger_7B_18_2025</w:t>
      </w:r>
    </w:p>
    <w:p>
      <w:r>
        <w:t>FR: TF 7B_18/2025 du 19 février 2025</w:t>
      </w:r>
    </w:p>
    <w:p>
      <w:r>
        <w:t>IT: TF 7B_18/2025 del 19 febbraio 2025</w:t>
      </w:r>
    </w:p>
    <w:p>
      <w:pPr>
        <w:pStyle w:val="Heading2"/>
      </w:pPr>
      <w:r>
        <w:t>Erwägungen</w:t>
      </w:r>
    </w:p>
    <w:p>
      <w:r>
        <w:rPr>
          <w:b/>
        </w:rPr>
        <w:t>E. 1</w:t>
      </w:r>
    </w:p>
    <w:p>
      <w:r>
        <w:t>Am 5. Februar 2024 erstattete der Beschwerdeführer im Zusammenhang mit einem Sorgerechtsstreit i.w.S. Strafanzeige gegen Mitarbeiter der Kinder- und Erwachsenenschutzbehörde (KESB) Dübendorf. Die Staatsanwaltschaft See/Oberland (nachfolgend: Staatsanwaltschaft) nahm hierauf eine Strafuntersuchung mit Verfügung vom 25. Juni 2024 nicht an Hand. Am 2. Juli 2024 gelangte der Beschwerdeführer erneut an die Staatsanwaltschaft, welche die entsprechende Eingabe dem Obergericht des Kantons Zürich (nachfolgend: Obergericht) zwecks Prüfung übermittelte, ob diese als Beschwerde gegen die Nichtanhandnahmeverfügung vom 25. Juni 2024 entgegenzunehmen sei. Das Obergericht wies die Beschwerde in der Folge mit Beschluss vom 17. Dezember 2024 ab, "soweit die Eingabe [...] vom 2. Juli 2024 als solche entgegenzunehmen ist". Der Beschwerdeführer wendet sich mit Beschwerde in Strafsachen vom 7. Januar 2025 ans Bundesgericht und beantragt sinngemäss, der Beschluss des Obergerichts vom 17. Dezember 2024 sei aufzuheben und die Staatsanwaltschaft sei anzuweisen, eine Strafuntersuchung gemäss seiner Anzeige vom 5. Februar 2024 durchzuführen.</w:t>
      </w:r>
    </w:p>
    <w:p>
      <w:r>
        <w:rPr>
          <w:b/>
        </w:rPr>
        <w:t>E. 2</w:t>
      </w:r>
    </w:p>
    <w:p>
      <w:r>
        <w:t>Gegenstand des bundesgerichtlichen Verfahrens ist ausschliesslich der angefochtene Beschluss des Obergerichts vom 17. Dezember 2024 (vgl. Art. 80 Abs. 1, Art. 90 BGG ). Soweit der Beschwerdeführer mehr verlangt oder thematisiert, als von der Vorinstanz beurteilt wurde, ist darauf von vornherein nicht einzutreten ( BGE 142 I 155 E. 4.4.2; 136 II 457 E. 4.2; 136 V 362 E. 3.4.2).</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w:t>
      </w:r>
    </w:p>
    <w:p>
      <w:r>
        <w:rPr>
          <w:b/>
        </w:rPr>
        <w:t>E. 4</w:t>
      </w:r>
    </w:p>
    <w:p>
      <w:r>
        <w:t>In der Beschwerde wird nicht dargetan, inwiefern dem Beschwerdeführer ein Zivilanspruch zustehen und er als Privatkläger im Sinne von Art. 81 Abs. 1 lit. b Ziff. 5 BGG zur Beschwerde legitimiert sein soll. Dies ist auch nicht ersichtlich. Die Anzeige richtet sich gegen Mitarbeitende der Kinder- und Erwachsenenschutzbehörde (KESB) Dübendorf. Gemäss § 6 des zürcherischen Haftungsgesetzes vom 14. September 1969 (LS 170.1) haftet der Kanton für den Schaden, den ein Angestellter in Ausübung amtlicher Verrichtungen einer dritten Person widerrechtlich zufügt (Abs. 1). Dem Geschädigten steht kein Anspruch gegen den Angestellten zu (Abs. 4). Das Gesetz gilt für den Kanton und für die Gemeinden und für die in ihrem Dienste stehenden Personen (§§ 1 und 2). Die Strafanzeige des Beschwerdeführers richtet sich damit gegen Personen, die unter die angeführten Bestimmungen des zürcherischen Haftungsgesetzes fallen, gegen welche für allfällige Schäden, die in amtlicher Verrichtung verursacht wurden, einzig öffentlich-rechtliche Ansprüche bestehen. Es ist nicht erkennbar, weshalb dem Beschwerdeführer gegen diese von ihm angezeigten Personen Zivilansprüche zustehen sollten - was er, wie erwähnt, denn auch mit keinem Wort darlegt. In Ermangelung eines hinreichend begründeten Zivilanspruchs ist der Beschwerdeführer nicht zur Beschwerde legitimiert.</w:t>
      </w:r>
    </w:p>
    <w:p>
      <w:r>
        <w:rPr>
          <w:b/>
        </w:rPr>
        <w:t>E. 5</w:t>
      </w:r>
    </w:p>
    <w:p>
      <w:r>
        <w:t>Der Beschwerdeführer rügt ferner keine Verletzung von Verfahrensrechten, deren Missachtung einer formellen Rechtsverweigerung gleichkommen würde ("Star-Praxis"; BGE 146 IV 76 E. 2; 141 IV 1 E. 1.1), weshalb auch unter diesem Titel nicht auf die Beschwerde einzutreten ist.</w:t>
      </w:r>
    </w:p>
    <w:p>
      <w:r>
        <w:rPr>
          <w:b/>
        </w:rPr>
        <w:t>E. 6</w:t>
      </w:r>
    </w:p>
    <w:p>
      <w:r>
        <w:t>Auf die Beschwerde ist im Verfahren nach Art. 108 BGG nicht einzutreten. 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