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18/2023 vom 24. August 2023</w:t>
      </w:r>
    </w:p>
    <w:p>
      <w:r>
        <w:t>Bundesgericht, 2023-08-24, FR</w:t>
      </w:r>
    </w:p>
    <w:p>
      <w:r>
        <w:rPr>
          <w:b/>
        </w:rPr>
        <w:t xml:space="preserve">Quelle: </w:t>
      </w:r>
      <w:r>
        <w:t>https://mcp.opencaselaw.ch/entscheid/bger_7B_18_2023</w:t>
      </w:r>
    </w:p>
    <w:p>
      <w:r>
        <w:t>FR: TF 7B 18/2023 du 24 août 2023</w:t>
      </w:r>
    </w:p>
    <w:p>
      <w:r>
        <w:t>IT: TF 7B 18/2023 del 24 agosto 2023</w:t>
      </w:r>
    </w:p>
    <w:p>
      <w:pPr>
        <w:pStyle w:val="Heading2"/>
      </w:pPr>
      <w:r>
        <w:t>Regeste</w:t>
      </w:r>
    </w:p>
    <w:p>
      <w:r>
        <w:t>Frais de procédure, refus d'indemnité | Procédure pénale</w:t>
      </w:r>
    </w:p>
    <w:p>
      <w:pPr>
        <w:pStyle w:val="Heading2"/>
      </w:pPr>
      <w:r>
        <w:t>Erwägungen</w:t>
      </w:r>
    </w:p>
    <w:p>
      <w:r>
        <w:rPr>
          <w:b/>
        </w:rPr>
        <w:t>E. 1</w:t>
      </w:r>
    </w:p>
    <w:p>
      <w:r>
        <w:t>Le Tribunal fédéral examine d'office ( art. 29 al. 1 LTF ) et contrôle librement la recevabilité des recours qui lui sont soumis ( ATF 149 IV 9 consid. 2).</w:t>
      </w:r>
    </w:p>
    <w:p>
      <w:r>
        <w:rPr>
          <w:b/>
        </w:rPr>
        <w:t>E. 1.1</w:t>
      </w:r>
    </w:p>
    <w:p>
      <w:r>
        <w:t>Le présent recours a été interjeté dans le délai légal ( art. 46 al. 1 let . c et 100 al. 1 LTF). Dirigé contre une décision émanant d'une autorité cantonale de dernière instance qui confirme la mise à la charge du recourant des frais de première instance et le refus de lui allouer toute indemnité malgré le classement de la procédure, il est recevable quant à son objet ( art. 78, 80 et 90 LTF ). Le recourant, qui a pris part à la procédure devant l'autorité précédente, dispose d'un intérêt juridique à l'annulation de la décision, partant de la qualité pour recourir (art. 81 al. 1 let. a et b ch. 1 LTF).</w:t>
      </w:r>
    </w:p>
    <w:p>
      <w:r>
        <w:rPr>
          <w:b/>
        </w:rPr>
        <w:t>E. 1.2</w:t>
      </w:r>
    </w:p>
    <w:p>
      <w:r>
        <w:t>Le recours en matière pénale est une voie de réforme ( art. 107 al. 2 LTF ). Le recourant ne peut dès lors pas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ATF 137 II 313 consid. 1.3; 134 III 379 consid. 1.3; arrêts 6B_381/2023 du 8 juin 2023 consid. 2.1; 6B_111/2015 du 3 mars 2016 consid. 1.7 non publié aux ATF 142 IV 196 ). En l'occurrence, le recourant ne formule pas de conclusions réformatoires, mais sollicite uniquement l'annulation de l'ordonnance attaquée et le renvoi de la cause à l'autorité cantonale. Une telle manière de faire n'est en principe pas admissible. On parvient néanmoins à comprendre, au vu des motifs du recours, qu'il entend obtenir la réforme de la décision, en ce sens que les frais de première et deuxième instances soient laissés à la charge de l'État et qu'une indemnité pour les dépenses occasionnées par l'exercice raisonnable de ses droits de procédure ( art. 430 al. 1 let. a CPP ) - dont il ne précise toutefois pas le montant - lui soit allouée. Cela suffit encore pour satisfaire aux exigences de forme déduites de l' art. 42 al. 1 et 2 LTF .</w:t>
      </w:r>
    </w:p>
    <w:p>
      <w:r>
        <w:rPr>
          <w:b/>
        </w:rPr>
        <w:t>E. 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3</w:t>
      </w:r>
    </w:p>
    <w:p>
      <w:r>
        <w:t>Le recourant soutient que la cour cantonale aurait à tort appliqué les art. 426 al. 2 et 430 al. 1 let. a CPP en lui faisant supporter les frais de la procédure, respectivement en refusant de lui allouer une indemnité pour ses frais de défense.</w:t>
      </w:r>
    </w:p>
    <w:p>
      <w:r>
        <w:rPr>
          <w:b/>
        </w:rPr>
        <w:t>E. 3.1.1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Cette disposition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6B_924/2022 du 13 juillet 2023 consid. 3.1.1; 6B_162/2022 du 9 janvier 2023 consid. 2.1; 6B_1003/2021 du 8 septembre 2022 consid. 1.1 et les références citées). En tout état,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Le fait reproché doit constituer une violation claire de la norme de comportement ( ATF 144 IV 202 consid. 2.2 et les références citées).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 6B_1169/2022 du 30 juin 2023 consid. 4.1.1). Le juge ne peut fonder sa décision que sur des faits incontestés ou déjà clairement établis ( ATF 112 Ia 371 consid. 2a; arrêts 6B_1321/2022 du 14 mars 2023 consid. 2.1; 6B_1003/2021 du 8 septembre 2022 consid. 1.1). La notion de faute visée par l' art. 426 al. 2 CPP s'apprécie à la lumière d'une application par analogie de l' art. 41 CO (arrêt 6B_156/2017 du 22 décembre 2017 consid. 5). Selon la jurisprudence, la notion de faute visée par l' art. 41 CO peut consister, notamment, dans le fait de créer ou de laisser subsister un état de choses dangereux pour autrui sans prendre toutes les mesures commandées par les circonstances afin d'empêcher un dommage de se produire ( ATF 124 III 297 consid. 5b; 123 III 306 consid. 4a; arrêt 6B_156/2017 précité). De même, l'acte (civilement) répréhensible n'a pas à être commis intentionnellement, la négligence étant suffisante (arrêts 6B_956/2019 du 19 novembre 2019; 6B_439/2013 du 19 juillet 2013 consid. 1.1; cf. ATF 116 Ia 162 consid. 2.d/bb).</w:t>
      </w:r>
    </w:p>
    <w:p>
      <w:r>
        <w:rPr>
          <w:b/>
        </w:rPr>
        <w:t>E. 3.1.2</w:t>
      </w:r>
    </w:p>
    <w:p>
      <w:r>
        <w:t>Selon l' art. 429 al. 1 CPP ,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(arrêts 6B_1169/2022 précité consid. 4.1.2; 6B_762/2022 du 11 janvier 2023 consid. 2.1.2). Dans cette mesure, la décision sur les frais préjuge de la question de l'indemnisation ( ATF 147 IV 47 consid. 4.1; 144 IV 207 consid. 1.8.2; 137 IV 352 consid. 2.4.2). En d'autres termes, si le prévenu supporte les frais en application de l' art. 426 al. 1 ou 2 CPP , une indemnité est en règle générale exclue, alors que le prévenu y a, en principe, droit si l'État supporte les frais de la procédure pénale ( ATF 144 IV 207 consid. 1.8.2; 137 IV 352 consid. 2.4.2).</w:t>
      </w:r>
    </w:p>
    <w:p>
      <w:r>
        <w:rPr>
          <w:b/>
        </w:rPr>
        <w:t>E. 3.2</w:t>
      </w:r>
    </w:p>
    <w:p>
      <w:r>
        <w:t>L' 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138 consid. 2.1; 125 IV 83 consid. 2b et les références citées). Selon l' art. 26 al. 2 LCR , une prudence particulière s'impose à l'égard des enfants, des infirmes et des personnes âgées, de même s'il apparaît qu'un usager de la route va se comporter de manière incorrecte. Le principe de la confiance ne s'applique donc pas à l'égard de ces personnes ( ATF 129 IV 282 consid. 2.2.1; 115 IV 239 consid. 2). Celui qui n'agit pas de manière conforme aux règles de la circulation routière ne peut pas se prévaloir du principe de la confiance ( ATF 125 IV 83 consid. 2b). Aux termes de l' art. 32 al. 1 LCR ,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 ATF 121 IV 286 consid. 4b; 121 II 127 consid. 4a; cf. art. 4a OCR [ordonnance sur les règles de la circulation routière du 13 novembre 1962; RS 741.11]). D'une manière générale, le degré d'attention exigé du conducteur s'apprécie au regard de toutes les circonstances, telles que la densité du trafic, la configuration des lieux, l'heure, la visibilité et les sources de danger prévisibles ( ATF 129 IV 282 consid. 2.2.1). L'exigence d'un comportement particulièrement prudent et prévenant s'impose de manière générale dans les quartiers d'habitation et sur les aires de circulation qui leur sont assimilées, notamment les routes secondaires sur lesquelles la circulation des véhicules n'est autorisée que dans une mesure limitée ( art. 41a OCR ). Cette disposition ne vise pas expressément les zones piétonnes ou de rencontre respectivement les zones 30 et ne fait référence à aucune vitesse précise, de sorte qu'elle s'applique de manière générale dans les quartiers d'habitation, indépendamment du fait que la vitesse y est limitée à 50, 30 ou 20 km/h (arrêt 6B_1028/2008 du 16 avril 2009 consid. 3.5.3 et la référence citée).</w:t>
      </w:r>
    </w:p>
    <w:p>
      <w:r>
        <w:rPr>
          <w:b/>
        </w:rPr>
        <w:t>E. 3.3</w:t>
      </w:r>
    </w:p>
    <w:p>
      <w:r>
        <w:t>En l'espèce, la cour cantonale a estimé que le recourant n'avait pas respecté le devoir particulier de prudence que lui imposaient les art. 26 al. 2 LCR et 41a OCR. En particulier, alors qu'en un début d'après-midi du mois d'avril le recourant traversait un quartier d'habitation, où la vitesse maximale était limitée à 30 km/h, il lui aurait appartenu de porter une concentration accrue à la présence éventuelle d'enfants et d'adapter sa vitesse en conséquence, ce qu'il n'avait manifestement pas fait, le recourant ayant notamment expliqué, lors de ses auditions, s'être contenté de rouler à 30 km/h, tout en reconnaissant avoir été "surpris" par l'arrivée d'un enfant ayant surgi sur la route. Un tel comportement, négligent mais néanmoins fautif, était bien de nature, selon le cours ordinaire des choses et l'expérience de la vie, à provoquer un accident, et partant à entraîner l'ouverture d'une procédure pénale (cf. ordonnance attaquée, p. 13 s.).</w:t>
      </w:r>
    </w:p>
    <w:p>
      <w:r>
        <w:rPr>
          <w:b/>
        </w:rPr>
        <w:t>E. 3.4</w:t>
      </w:r>
    </w:p>
    <w:p>
      <w:r>
        <w:t>Le recourant se plaint d'une violation de son droit d'être entendu ( art. 29 al. 2 Cst. ), arguant que la cour cantonale aurait en partie fondé son raisonnement sur des éléments factuels sur lesquels il n'aurait pas été en mesure de se prononcer. Force est d'abord de relever à cet égard qu'il n'y a rien de surprenant à considérer qu'en soi, la présence de chaises, d'une table ainsi que de boîtes aux lettres, à proximité de la maison occupée par la famille C.________, laissait supposer que les lieux étaient habités et partant que des personnes, en particulier des enfants, étaient susceptibles de déboucher sur la route depuis le chemin privé situé à l'arrière de la maison, chemin qui était partiellement caché depuis la route. L'approche de la cour cantonale est d'autant moins critiquable qu'elle reprend en définitive le même raisonnement que celui que l'autorité de première instance avait développé (cf. décision du 13 août 2020, p. 11), de sorte que le recourant avait été en mesure d'y apporter ses objections dans le cadre de son recours cantonal. On relèvera du reste que la présence des objets évoqués ci-avant sur les lieux de l'accident, ainsi que l'existence d'un chemin privé à l'arrière de la maison, ressortent des photographies annexées au rapport de police, lequel figurait au dossier cantonal (cf. P. 22 à 24) et était dès lors consultable par le recourant (cf. art. 107 al. 1 let. a CPP ). On ne distingue, dans ce contexte, aucune violation du droit d'être entendu.</w:t>
      </w:r>
    </w:p>
    <w:p>
      <w:r>
        <w:rPr>
          <w:b/>
        </w:rPr>
        <w:t>E. 3.5</w:t>
      </w:r>
    </w:p>
    <w:p>
      <w:r>
        <w:t>Il est certes constant que le recourant n'a pas été condamné pénalement en raison des faits pour lesquels il avait été renvoyé en jugement, en particulier qu'il n'a pas été reconnu coupable d'une violation des règles de la circulation routière au sens de l' art. 90 LCR . Cette circonstance ne permet toutefois pas encore de conclure à une violation de la présomption d'innocence. Il faut ainsi prendre en considération que la mise à charge des frais, respectivement le refus d'allouer une indemnité au titre de l' art. 429 CPP , reposent en l'occurrence sur des circonstances factuelles qui avaient pu être clairement établies, par le Ministère public et la police notamment, dans le cadre de la procédure pénale ouverte, en raison du même complexe de faits, pour lésions corporelles simples ( art. 125 al. 1 CP ), procédure dont on rappelle qu'elle avait finalement été classée en raison du retrait de plainte opéré par le père de la victime mineure, dont on ignore au demeurant tout des éventuelles conditions ou modalités. On observera de surcroît que si l'ordonnance pénale du 26 juin 2017, tenant lieu d'accusation ( art. 356 al. 1 CPP ), mentionne uniquement l' art. 125 al. 1 CP - et non l' art. 90 LCR - à titre d'infraction commise selon le Ministère public, il n'en demeure pas moins que cette même ordonnance pénale décrit la violation du devoir de prudence qui était reprochée au recourant sous l'angle de l' art. 26 al. 2 LCR et qui a en définitive justifié la mise à sa charge des frais de procédure et le refus d'indemnité en tant qu'acte propre à engager la responsabilité civile du recourant. C'est par ailleurs en vain que le recourant se réfère à l'arrêt 6B_135/2022 rendu le 28 septembre 2022 dans la présente cause (cf. let. B.d supra), lequel porte sur le seul point de savoir si, à la suite du retrait de plainte du lésé, les autorités pénales valaisannes étaient fondées à le poursuivre d'office en raison d'une violation grave des règles de la circulation routière. En tous les cas, l'autorité précédente ne s'est aucunement prononcée sur le point de savoir si le comportement du recourant était pénalement répréhensible.</w:t>
      </w:r>
    </w:p>
    <w:p>
      <w:r>
        <w:rPr>
          <w:b/>
        </w:rPr>
        <w:t>E. 3.6</w:t>
      </w:r>
    </w:p>
    <w:p>
      <w:r>
        <w:t>Pour le surplus, le raisonnement de la cour cantonale, tel que résumé ci-avant, échappe à toute critique. La mise à charge des frais et le refus d'indemnité apparaissent ainsi justifiés sous l'angle d'une violation des art. 26 al. 2 LCR et 41a OCR, sans qu'il y ait lieu d'examiner la motivation subsidiaire - qu'il appartenait au recourant d'attaquer également sous peine d'irrecevabilité ( ATF 142 III 364 consid. 2.4; arrêt 6B_161/2022 du 15 février 2023 consid. 3.2) - retenue par la cour cantonale quant à une violation par le recourant de ses devoirs en cas d'accident (cf. art. 51 al. 2 LCR et 55 OCR; ordonnance attaquée, p. 15).</w:t>
      </w:r>
    </w:p>
    <w:p>
      <w:r>
        <w:rPr>
          <w:b/>
        </w:rPr>
        <w:t>E. 4</w:t>
      </w:r>
    </w:p>
    <w:p>
      <w:r>
        <w:t>Il s'ensuit que le recours, mal fondé, doit être rejeté dans la mesure où il est recevable. Le recourant, qui succombe, supporte les frais judiciaires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