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7B_189/2025 vom 11. September 2025</w:t>
      </w:r>
    </w:p>
    <w:p>
      <w:r>
        <w:t>Bundesgericht, 2025-09-11, FR</w:t>
      </w:r>
    </w:p>
    <w:p>
      <w:r>
        <w:rPr>
          <w:b/>
        </w:rPr>
        <w:t xml:space="preserve">Quelle: </w:t>
      </w:r>
      <w:r>
        <w:t>https://mcp.opencaselaw.ch/entscheid/bger_7B_189_2025</w:t>
      </w:r>
    </w:p>
    <w:p>
      <w:r>
        <w:t>FR: TF 7B_189/2025 du 11 septembre 2025</w:t>
      </w:r>
    </w:p>
    <w:p>
      <w:r>
        <w:t>IT: TF 7B_189/2025 del 11 settembre 2025</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est recevable. Le recourant, qui a pris part à la procédure devant l'autorité précédente, dispose d'un intérêt juridique à l'annulation ou à la modification de la décision entreprise et a ainsi la qualité pour recourir ( art. 81 al. 1 LTF ).</w:t>
      </w:r>
    </w:p>
    <w:p>
      <w:r>
        <w:rPr>
          <w:b/>
        </w:rPr>
        <w:t>E. 2</w:t>
      </w:r>
    </w:p>
    <w:p>
      <w:r>
        <w:t>Le recourant se plaint d'arbitraire dans l'établissement des faits et l'appréciation des preuves ainsi que d'une violation de l' art. 86 al. 1 CP .</w:t>
      </w:r>
    </w:p>
    <w:p>
      <w:r>
        <w:rPr>
          <w:b/>
        </w:rPr>
        <w:t>E. 2.1.1</w:t>
      </w:r>
    </w:p>
    <w:p>
      <w:r>
        <w:t>Aux termes de l' art. 86 al. 1 CP , l'autorité compétente libère conditionnellement le détenu qui a subi les deux tiers de ses peines,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[RO 1971 777]),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 7B_1294/2024 du 23 janvier 2025 consid. 3.2 et les arrêts cités). Le pronostic à émettre doit être posé sur la base d'une appréciation globale, prenant en considération les antécédents de l'intéressé, sa personnalité, son comportement en général et dans le cadre des infractions qui sont à l'origine de sa condamnation, le degré de son éventuel amendement ainsi que les conditions dans lesquelles il est à prévoir qu'il vivra ( ATF 133 IV 201 consid. 2.2 et 2.3 et les arrêts cités).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arrêts 7B_1294/2024 du 23 janvier 2025 consid. 3.2; 7B_644/2024 du 14 octobre 2024 consid. 2.1.2).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Il y a également lieu de rechercher si la libération conditionnelle, éventuellement assortie d'une assistance de probation ou de règles de conduite, ne favoriserait pas mieux la resocialisation de l'auteur que l'exécution complète de la peine ( ATF 124 IV 193 consid. 4d/aa et 4d/bb; arrêt 7B_1294/2024 du 23 janvier 2025 consid. 3.2 et les arrêts cités).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 7B_644/2024 du 14 octobre 2024 consid. 2.2.2).</w:t>
      </w:r>
    </w:p>
    <w:p>
      <w:r>
        <w:rPr>
          <w:b/>
        </w:rPr>
        <w:t>E. 2.1.2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2.2</w:t>
      </w:r>
    </w:p>
    <w:p>
      <w:r>
        <w:t>Après avoir relevé que le recourant avait atteint les deux tiers de sa peine, si bien que la première condition de la libération conditionnelle était réalisée, la cour cantonale a indiqué que la question de savoir si le comportement du recourant en détention s'opposait à la libération conditionnelle pouvait souffrir de demeurer indécise, dans la mesure où le pronostic quant à son comportement futur était défavorable. Pour émettre un pronostic défavorable, la juridiction précédente a tenu compte de l'évaluation criminologique du 25 mars 2024, laquelle mettait en évidence une délinquance polymorphe ancrée avec un risque élevé de récidive dans les actes violents. Les juges cantonaux ont également pris en considération le comportement du recourant en détention. Si les sanctions disciplinaires ne pouvaient pas justifier à elles seules le refus de la libération conditionnelle, elles dénotaient toutefois une propension du recourant à ne pas respecter les règles et constituaient un élément dans le sens d'un mauvais pronostic. Par ailleurs, le recourant se montrait certes collaborant quant à son renvoi et à ses projets au Chili, mais avait néanmoins une attitude rénitente s'agissant des consultations psychothérapeutiques prévues, auxquelles il avait refusé de se rendre alors même qu'il prétendait les avoir appelées de ses voeux, de longue date. Le rapprochement de ces différents éléments révélait un tableau global faisant fortement craindre un risque de récidive, lequel était accentué par l'absence de suivi psychiatrique ou même seulement psychologique. Ces circonstances commandaient la plus grande circonspection en dépit des regrets exprimés par le condamné et de la constitution de provisions en vue de dédommager ses victimes. De surcroît, les biens juridiquement protégés auxquels le recourant avait porté atteinte, soit la vie et l'intégrité corporelle, étaient particulièrement importants, ce qui constituait un motif supplémentaire obligeant à la plus grande retenue. Enfin, au regard du principe de précaution, il apparaissait indispensable que le recourant se soumette à un suivi psychiatrique ou psychologique avant d'être libéré conditionnellement, le risque de réitération n'étant pas moins élevé au Chili qu'en Suisse. Un délai d'épreuve, qu'il soit assorti d'une assistance de probation ou pas, ne pouvait pas être appliqué au Chili, ce qui était de nature à priver d'objet ces mesures une fois l'expulsion du recourant exécutée et, dès lors, à accroître encore le risque de récidive. Dans ces circonstances, l'autorité précédente a refusé de mettre le recourant au bénéfice d'une libération conditionnelle.</w:t>
      </w:r>
    </w:p>
    <w:p>
      <w:r>
        <w:rPr>
          <w:b/>
        </w:rPr>
        <w:t>E. 2.3</w:t>
      </w:r>
    </w:p>
    <w:p>
      <w:r>
        <w:t>Le raisonnement de la cour cantonale ne prête pas le flanc à la critique et le recourant ne développe aucune argumentation susceptible de le remettre en cause. En effet, le recourant ne discute pas expressément la qualification du risque de récidive, pas plus qu'il ne conteste la valeur élevée des biens juridiques en cause. Il se contente de soutenir que les tests mis en oeuvre pour l'évaluation criminologique relèveraient d'un "systématisme" qui ne prendrait pas en compte les évènements qu'il a vécus et le contexte dans lesquels ceux-ci ont eu lieu. Son grief tombe à faux. Le recourant s'est soumis personnellement à ces tests, qui avaient notamment pour objectif d'évaluer le risque de récidive en se fondant sur deux entretiens menés avec lui, son dossier pénal et carcéral ainsi que les renseignements recueillis auprès des différents intervenants du milieu pénitentiaire (cf. Évaluation criminologique de l'unité d'évaluation criminologique de la Direction du Service pénitentiaire du canton de Vaud du 25 mars 2024, pièce 3/8 du dossier cantonal; art. 105 al. 2 LTF ). Aussi, en qualifiant d'élevé le risque de récidive dans les actes violents, les criminologues se sont précisément fondés sur la situation personnelle du recourant. En tant que celui-ci affirme par ailleurs que les violences perpétrées à l'endroit de l'amie de son épouse (cf. let. A.b supra ) auraient eu lieu lors d'une période difficile et que "par la force des choses, une telle situation - si aiguë - ne se reproduira plus", il procède de manière purement appellatoire, partant irrecevable. Son argumentation ne lui est au demeurant d'aucun secours dès lors que l'évaluation criminologique a surtout mis en exergue un risque de récidive s'agissant des violences conjugales et des infractions d'ordre sexuel (cf. let. f de l'arrêt attaqué). En outre, sans remettre en cause l'appréciation cantonale selon laquelle une absence de suivi à tout le moins psychologique accentuait le risque de récidive et qu'un tel suivi apparaissait indispensable au regard du principe de précaution, le recourant relève (à l'instar de la juridiction cantonale) qu'il a rencontré une psychologue à deux reprises en juillet et septembre 2024 et qu'il a alors exprimé son souhait d'être suivi. Il ne dit toutefois mot sur le constat de la Chambre des recours pénale selon lequel il a ensuite refusé de se rendre aux deux rendez-vous agendés et n'a plus émis le voeu de les reprendre. Il se borne à indiquer qu'il a "désormais repris son suivi", en s'écartant de l'état de fait cantonal, sans démontrer - ni même prétendre - que celui-ci aurait fait l'objet d'une omission arbitraire. Par ailleurs, c'est en vain que le recourant se prévaut du fait qu'il n'a jamais été condamné pour des violences conjugales auparavant. Eu égard à la jurisprudence en la matière (cf. consid. 2.1.1 supra ), c'est l'ensemble des antécédents qui doit être examiné dans l'évaluation du pronostic. Le recourant ne discute d'ailleurs pas le raisonnement par lequel les juges cantonaux ont retenu que ses différentes condamnations révélaient une délinquance polymorphe ancrée, permettant de retenir un risque de récidive significatif. Enfin, en tant que le recourant affirme, s'agissant de son comportement en détention, que les faits reprochés (en majorité la consommation de cannabis) ne viendraient pas confirmer le risque hétéro-agressif qu'on lui prête, il procède de manière purement appellatoire, partant irrecevable. On relèvera au demeurant qu'il a également été sanctionné pour inobservation des règlements et directives, refus d'obtempérer, fraude et trafic.</w:t>
      </w:r>
    </w:p>
    <w:p>
      <w:r>
        <w:rPr>
          <w:b/>
        </w:rPr>
        <w:t>E. 2.4</w:t>
      </w:r>
    </w:p>
    <w:p>
      <w:r>
        <w:t>En définitive, le recourant ne démontre pas que la cour cantonale aurait ignoré à tort ou mal apprécié un élément pertinent en sa faveur ou encore aurait pris en considération une circonstance sans pertinence. Elle a tenu compte des antécédents du recourant, de l'importance des biens juridiques auxquels il avait porté atteinte et de son comportement dans le cadre des infractions à l'origine de sa condamnation, lequel démontrait un ancrage durable dans la délinquance pour des infractions à caractère polymorphe. Elle a également tenu compte de l'évaluation criminologique mettant en exergue un risque de récidive élevé ainsi que du comportement du recourant, en particulier de sa propension à la transgression et de son attitude rénitente dans la mesure où il refusait un suivi psychothérapeutique, lequel se révélait pourtant indispensable au regard du principe de précaution. Au vu du risque concret de réitération résultant de ces éléments, les juges cantonaux n'ont manifestement pas abusé de leur pouvoir d'appréciation en posant un pronostic défavorable et n'ont dès lors pas violé le droit fédéral en refusant de mettre le recourant au bénéfice d'une libération conditionnelle.</w:t>
      </w:r>
    </w:p>
    <w:p>
      <w:r>
        <w:rPr>
          <w:b/>
        </w:rPr>
        <w:t>E. 3</w:t>
      </w:r>
    </w:p>
    <w:p>
      <w:r>
        <w:t>Vu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