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7B_183/2023 vom 26. Juli 2023</w:t>
      </w:r>
    </w:p>
    <w:p>
      <w:r>
        <w:t>Bundesgericht, 2023-07-26, DE</w:t>
      </w:r>
    </w:p>
    <w:p>
      <w:r>
        <w:rPr>
          <w:b/>
        </w:rPr>
        <w:t xml:space="preserve">Quelle: </w:t>
      </w:r>
      <w:r>
        <w:t>https://mcp.opencaselaw.ch/entscheid/bger_7B_183_2023</w:t>
      </w:r>
    </w:p>
    <w:p>
      <w:r>
        <w:t>FR: TF 7B_183/2023 du 26 juillet 2023</w:t>
      </w:r>
    </w:p>
    <w:p>
      <w:r>
        <w:t>IT: TF 7B_183/2023 del 26 luglio 2023</w:t>
      </w:r>
    </w:p>
    <w:p>
      <w:pPr>
        <w:pStyle w:val="Heading2"/>
      </w:pPr>
      <w:r>
        <w:t>Erwägungen</w:t>
      </w:r>
    </w:p>
    <w:p>
      <w:r>
        <w:rPr>
          <w:b/>
        </w:rPr>
        <w:t>E. 1.1</w:t>
      </w:r>
    </w:p>
    <w:p>
      <w:r>
        <w:t>Angefochten ist ein Endentscheid ( Art. 90 BGG ) in Strafsachen einer letzten kantonalen Instanz, die als oberes Gericht auf Berufung hin ( Art. 80 BGG ) geurteilt hat. Der Beschwerdeführer hat die Beschwerdefrist eingehalten ( Art. 100 Abs. 1 BGG ).</w:t>
      </w:r>
    </w:p>
    <w:p>
      <w:r>
        <w:rPr>
          <w:b/>
        </w:rPr>
        <w:t>E. 1.2</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Die Privatklägerschaft kann - wie hier der Beschwerdeführer - namentlich vorbringen, auf ein Rechtsmittel sei zu Unrecht nicht eingetreten worden (sog. "Star-Praxis"; BGE 141 IV 1 E. 1; 138 IV 78 E. 1.3 f.; je mit Hinweisen).</w:t>
      </w:r>
    </w:p>
    <w:p>
      <w:r>
        <w:rPr>
          <w:b/>
        </w:rPr>
        <w:t>E. 1.3</w:t>
      </w:r>
    </w:p>
    <w:p>
      <w:r>
        <w:t>Gemäss Art. 42 Abs. 2 BGG ist in der Beschwerdebegründung in gedrängter Form darzulegen, inwiefern der angefochtene Entscheid Recht verletzt, wobei für die Anfechtung des Sachverhalts sowie die Geltendmachung von Grundrechtsverletzungen qualifizierte Begründungsanforderungen gelten (vgl. Art. 97 Abs. 1 und Art. 106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140 III 86 E. 2; Urteil 6B_1500/2021 vom 13. Januar 2023 E. 2.1; je mit Hinweisen). Beruht der angefochtene Entscheid auf mehreren selbstständigen Begründungen, die je für sich den Ausgang des Rechtsstreits besiegeln, hat die beschwerdeführende Partei darzulegen, dass jede von ihnen Recht verletzt ( BGE 142 III 364 E. 2.4; 133 IV 119 E. 6.3; Urteile 6B_654/2022 vom 22. Februar 2023 E. 2.3; 6B_1104/2020 vom 25. Februar 2021 E. 1.3.1; je mit Hinweisen). Auf ungenügend begründete Rügen oder bloss allgemein gehaltene appellatorische Kritik am angefochtenen Urteil tritt das Bundesgericht nicht ein ( BGE 147 IV 73 E. 4.1.2; 146 IV 114 E. 2.1, 88 E. 1.3.1). Das Begründungserfordernis nach Art. 42 Abs. 1 und 2 BGG erstreckt sich auch auf die Frage der Legitimation ( BGE 141 IV 1 E. 1.1).</w:t>
      </w:r>
    </w:p>
    <w:p>
      <w:r>
        <w:rPr>
          <w:b/>
        </w:rPr>
        <w:t>E. 1.4</w:t>
      </w:r>
    </w:p>
    <w:p>
      <w:r>
        <w:t>Die Vorinstanz hat das gesamte Berufungsverfahren unter Beteiligung des Beschwerdeführers als Berufungsführer durchgeführt; sie hat dessen Beweisanträge behandelt und ihn vom persönlichen Erscheinen an der Berufungsverhandlung dispensiert, während sein Rechtsvertreter daran teilgenommen hat. Mit der Urteilsbegründung und im Dispositiv des Berufungsurteils beschied die Vorinstanz dem Beschwerdeführer schliesslich, auf seine Berufung könne mangels Bezifferung und Substanziierung der Zivilforderungen (formell) nicht eingetreten werden. Dies rügt der Beschwerdeführer vorliegend zu Recht als bundesrechtswidrig, ist doch der Geschädigte selbst dann, wenn er keine Zivilforderung angemeldet hat, als Strafkläger legitimiert, im Strafpunkt Berufung zu erheben ( BGE 139 IV 78 E. 3; Urteile 6B_588/2022 vom 8. Mai 2023 E. 3.1.1; 6B_1014/2020 vom 10. Februar 2021 E. 3.2).</w:t>
      </w:r>
    </w:p>
    <w:p>
      <w:r>
        <w:rPr>
          <w:b/>
        </w:rPr>
        <w:t>E. 1.5</w:t>
      </w:r>
    </w:p>
    <w:p>
      <w:r>
        <w:t>Trotzdem hat der angefochtene Entscheid Bestand: Denn wie die Vorinstanz in E. 1.1 c</w:t>
      </w:r>
    </w:p>
    <w:p>
      <w:r>
        <w:t>in</w:t>
      </w:r>
    </w:p>
    <w:p>
      <w:r>
        <w:t>fine i.V.m. E. 13.1 im Sinne einer Eventualbegründung ausführt, wäre die Berufung des Beschwerdeführers im Falle eines Eintretens ohnehin abzuweisen gewesen. In der Tat hat der Beschwerdeführer im Berufungsverfahren primär den Schuldpunkt angefochten, den die Vorinstanz aufgrund der Anschlussberufung der Staatsanwaltschaft in der Sache (ohnehin) überprüft hat. Dabei wurden auch die Standpunkte des Beschwerdeführers durchaus gehört, nahm dieser doch, vertreten durch seinen Rechtsanwalt, an allen Phasen des Berufungsverfahrens bis zur Urteilsberatung teil. Im Ergebnis ist daher nicht ersichtlich, inwiefern dem Beschwerdeführer materiell überhaupt Rechte abgeschnitten worden sind, auch wenn das formelle Nichteintreten auf seine Berufung nicht bundesrechtskonform war. Aus diesen Gründen ist zudem nicht erkennbar, inwiefern der vorliegenden Bundesgerichtsbeschwerde, mit der ein formelles Eintreten auf die Berufung angestrebt wird, ein rechtlich geschütztes,</w:t>
      </w:r>
    </w:p>
    <w:p>
      <w:r>
        <w:t>aktuelles und praktisches Interesse zukommen soll (vgl. dazu BGE 140 IV 74 E. 1.3.1 ; 136 I 274 E. 1.3 mit Hinweisen). Der Beschwerdeführer äussert sich zu seinem Rechtsschutzinteresse nicht näher, sondern begründet seine Beschwerdeberechtigung einzig mit Verweis auf die "Star-Praxis". Dies reicht unter dem Titel von Art. 42 Abs. 1 und 2 BGG nicht aus. Ausserdem setzt er sich auch inhaltlich mit der Eventualbegründung in E. 13.1 des angefochtenen Urteils nicht auseinander und zeigt nicht auf, weshalb diese seiner Ansicht nach Recht verletzt.</w:t>
      </w:r>
    </w:p>
    <w:p>
      <w:r>
        <w:t>Damit erweist sich die Rüge des Beschwerdeführers, dass die Vorinstanz formell auf seine Berufung hätte eintreten müssen, zwar als berechtigt. Da er seine Legitimation für das bundesgerichtliche Verfahren jedoch nicht hinreichend begründet und die vorinstanzliche Eventualbegründung, wonach seine Berufung auch in der Sache als unbegründet abzuweisen gewesen wäre, vor Bundesgericht nicht gesondert anficht, erweist sich seine Beschwerde dennoch als unzulässig.</w:t>
      </w:r>
    </w:p>
    <w:p>
      <w:r>
        <w:rPr>
          <w:b/>
        </w:rPr>
        <w:t>E. 2</w:t>
      </w:r>
    </w:p>
    <w:p>
      <w:r>
        <w:t>Auf die Beschwerde ist nicht einzutreten.</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