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7B_182/2025 vom 16. April 2025</w:t>
      </w:r>
    </w:p>
    <w:p>
      <w:r>
        <w:t>Bundesgericht, 2025-04-16, DE</w:t>
      </w:r>
    </w:p>
    <w:p>
      <w:r>
        <w:rPr>
          <w:b/>
        </w:rPr>
        <w:t xml:space="preserve">Quelle: </w:t>
      </w:r>
      <w:r>
        <w:t>https://mcp.opencaselaw.ch/entscheid/bger_7B_182_2025</w:t>
      </w:r>
    </w:p>
    <w:p>
      <w:r>
        <w:t>FR: TF 7B_182/2025 du 16 avril 2025</w:t>
      </w:r>
    </w:p>
    <w:p>
      <w:r>
        <w:t>IT: TF 7B_182/2025 del 16 aprile 2025</w:t>
      </w:r>
    </w:p>
    <w:p>
      <w:pPr>
        <w:pStyle w:val="Heading2"/>
      </w:pPr>
      <w:r>
        <w:t>Erwägungen</w:t>
      </w:r>
    </w:p>
    <w:p>
      <w:r>
        <w:rPr>
          <w:b/>
        </w:rPr>
        <w:t>E. 1</w:t>
      </w:r>
    </w:p>
    <w:p>
      <w:r>
        <w:t>Der Beschwerdeführer erstattete am 6. Oktober 2022 bei der Stadtpolizei Zürich mündlich Strafanzeige gegen B.________, C.________ und D.________ wegen Amtsmissbrauchs. Die Staatsanwaltschaft Il des Kantons Zürich verfügte am 19. August 2024 eine Untersuchung nicht an Hand zu nehmen. Die vom Beschwerdeführer gegen diese Verfügung erhobene Beschwerde wurde vom Obergericht des Kantons Zürich mit Beschluss vom 27. Januar 2025 abgewiesen. Der Beschwerdeführer wendet sich mit Beschwerde in Strafsachen vom 26. Februar 2025 (Postaufgabe) ans Bundesgericht und beantragt sinngemäss, der Beschluss des Obergerichts sei aufzuheben und die Staatsanwaltschaft sei anzuweisen, ein Strafverfahren durchzuführen.</w:t>
      </w:r>
    </w:p>
    <w:p>
      <w:r>
        <w:rPr>
          <w:b/>
        </w:rPr>
        <w:t>E. 2</w:t>
      </w:r>
    </w:p>
    <w:p>
      <w:r>
        <w:t>Gegenstand des bundesgerichtlichen Verfahrens ist ausschliesslich der angefochtene Beschluss des Obergerichts vom 27. Januar 2025 (vgl. Art. 80 Abs. 1, Art. 90 BGG ). Soweit der Beschwerdeführer mehr verlangt oder thematisiert, als von der Vorinstanz beurteilt wurde, ist darauf von vornherein nicht einzutreten ( BGE 142 I 155 E. 4.4.2; 136 II 457 E. 4.2; 136 V 362 E. 3.4.2).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 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4</w:t>
      </w:r>
    </w:p>
    <w:p>
      <w:r>
        <w:t>Der Beschwerdeführer legt die Beschwerdelegitimation bzw. einen ihm allenfalls zustehenden Zivilanspruch im Sinne von Art. 81 Abs. 1 lit. b Ziff. 5 BGG nicht ansatzweise dar. Bei den von ihm angezeigten Personen handelt es sich um Angestellte bzw. Mitglieder des Amtes für Jugend- und Kinderberatung, Kinder- und Jugendhilfezentren, sowie der Kinder- und Erwachsenenschutzbehörde des Bezirks Horgen. Gemäss § 6 des zürcherischen Haftungsgesetzes vom 14. September 1969 (HG/ZH;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f. HG/ZH). Damit bestehen gegen die angezeigten Personen von vornherein keine Zivilansprüche im Sinne von Art. 81 Abs. 1 lit. b Ziff. 5 BGG - selbst wenn erstellt wäre, dass diese dem Beschwerdeführer in amtlicher Verrichtung einen Vermögensschaden verursacht hätten (was nicht einmal behauptet wird). Der Beschwerdeführer ist nicht zur Beschwerde in Strafsachen legitimiert. Unbesehen davon vermag der Beschwerdeführer nicht aufzuzeigen, weshalb die angefochtene Verfügung in tatsächlicher oder rechtlicher Hinsicht fehlerhaft sein sollte. Dies gilt auch, soweit er die Nichtigkeit des angefochtenen Beschlusses ohne weitere Begründung behauptet. Die Beschwerdeschrift setzt sich nicht materiell mit den Erwägungen der Vorinstanz auseinander, sondern nimmt diese lediglich zum Anlass, um ausholend auszuführen, wie sich der Sachverhalt aus Sicht des Beschwerdeführers zugetragen habe und welche rechtlichen Folgen sich daraus ergeben sollten (im Wesentlichen sollen die angezeigten Personen im Sorgerechtsstreit zwischen dem Beschwerdeführer und der Mutter seines Kindes durch unvollständige Berichte und Parteiergreifung gegen den Beschwerdeführer eine Amtsgeheimnisverletzung begangen haben). Zudem unterstellt der Beschwerdeführer der Vorinstanz zahlreiche Gesetzes- und Verfassungsbestimmungen verletzt zu haben, äussert sich zur Rechtssicherheit, zur Wirksamkeit von Rechtsnormen und zur Rechtsgeltung, wobei er auf die Zeit des Nationalsozialismus eingeht, ohne das ein Zusammenhang mit dem angefochtenen Beschluss hergestellt wird. Insgesamt vermag die Beschwerde den Begründungsanforderungen offensichtlich nicht zu genügen, weshalb auch dann nicht auf sie einzutreten wäre, wenn der Beschwerdeführer sachlegitimiert wäre.</w:t>
      </w:r>
    </w:p>
    <w:p>
      <w:r>
        <w:rPr>
          <w:b/>
        </w:rPr>
        <w:t>E. 5</w:t>
      </w:r>
    </w:p>
    <w:p>
      <w:r>
        <w:t>Der Beschwerdeführer rügt ferner keine Verletzung von Verfahrensrechten, deren Missachtung einer formellen Rechtsverweigerung gleichkommen würde und von der Prüfung der Sache getrennt werden könnte ("Star-Praxis"; BGE 146 IV 76 E. 2; 141 IV 1 E. 1.1).</w:t>
      </w:r>
    </w:p>
    <w:p>
      <w:r>
        <w:rPr>
          <w:b/>
        </w:rPr>
        <w:t>E. 6</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