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7B_17/2025 vom 20. Januar 2025</w:t>
      </w:r>
    </w:p>
    <w:p>
      <w:r>
        <w:t>Bundesgericht, 2025-01-20, FR</w:t>
      </w:r>
    </w:p>
    <w:p>
      <w:r>
        <w:rPr>
          <w:b/>
        </w:rPr>
        <w:t xml:space="preserve">Quelle: </w:t>
      </w:r>
      <w:r>
        <w:t>https://mcp.opencaselaw.ch/entscheid/bger_7B_17_2025</w:t>
      </w:r>
    </w:p>
    <w:p>
      <w:r>
        <w:t>FR: TF 7B_17/2025 du 20 janvier 2025</w:t>
      </w:r>
    </w:p>
    <w:p>
      <w:r>
        <w:t>IT: TF 7B_17/2025 del 20 gennaio 2025</w:t>
      </w:r>
    </w:p>
    <w:p>
      <w:pPr>
        <w:pStyle w:val="Heading2"/>
      </w:pPr>
      <w:r>
        <w:t>Erwägungen</w:t>
      </w:r>
    </w:p>
    <w:p>
      <w:r>
        <w:rPr>
          <w:b/>
        </w:rPr>
        <w:t>E. 1.1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Sous réserve d'exceptions non réalisées en l'espèce, ce délai est suspendu du 18 décembre au 2 janvier inclus ( art. 46 al. 1 let. a LTF ). Les mémoires doivent être remis au plus tard le dernier jour du délai, soit au Tribunal fédéral soit, à l'attention de ce dernier, à La Poste Suisse ou à une représentation diplomatique ou consulaire suisse ( art. 48 al. 1 LTF ).</w:t>
      </w:r>
    </w:p>
    <w:p>
      <w:r>
        <w:rPr>
          <w:b/>
        </w:rPr>
        <w:t>E. 1.2</w:t>
      </w:r>
    </w:p>
    <w:p>
      <w:r>
        <w:t>En l'espèce, le recourant a retiré l'exemplaire de la décision attaquée le 26 novembre 2024. Le délai de recours contre cet arrêt est ainsi arrivé à échéance le lundi 13 janvier 2025. Il s'ensuit que le recours - qui, bien que daté du 25 décembre 2024, est présumé avoir été déposé le 15 janvier 2025 selon la date ressortant du sceau postal apposé sur l'enveloppe expédiée en courrier A (cf. ATF 142 V 389 consid. 2.2) - est manifestement tardif.</w:t>
      </w:r>
    </w:p>
    <w:p>
      <w:r>
        <w:rPr>
          <w:b/>
        </w:rPr>
        <w:t>E. 2</w:t>
      </w:r>
    </w:p>
    <w:p>
      <w:r>
        <w:t>Au vu de ce qui précède, l'irrecevabilité manifeste du recours doit être constatée dans la procédure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