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7B_178/2022 vom 20. September 2023</w:t>
      </w:r>
    </w:p>
    <w:p>
      <w:r>
        <w:t>Bundesgericht, 2023-09-20, DE</w:t>
      </w:r>
    </w:p>
    <w:p>
      <w:r>
        <w:rPr>
          <w:b/>
        </w:rPr>
        <w:t xml:space="preserve">Quelle: </w:t>
      </w:r>
      <w:r>
        <w:t>https://mcp.opencaselaw.ch/entscheid/bger_7B_178_2022</w:t>
      </w:r>
    </w:p>
    <w:p>
      <w:r>
        <w:t>FR: TF 7B_178/2022 du 20 septembre 2023</w:t>
      </w:r>
    </w:p>
    <w:p>
      <w:r>
        <w:t>IT: TF 7B_178/2022 del 20 settembre 2023</w:t>
      </w:r>
    </w:p>
    <w:p>
      <w:pPr>
        <w:pStyle w:val="Heading2"/>
      </w:pPr>
      <w:r>
        <w:t>Erwägungen</w:t>
      </w:r>
    </w:p>
    <w:p>
      <w:r>
        <w:rPr>
          <w:b/>
        </w:rPr>
        <w:t>E. 1</w:t>
      </w:r>
    </w:p>
    <w:p>
      <w:r>
        <w:t>Auf die frist- (Art. 100 Abs. 1 i.V.m. Art. 46 Abs. 1 lit. a BGG ) und formgerecht ( Art. 42 BGG ) eingereichte Beschwerde gegen einen kantonal letztinstanzlichen ( Art. 80 BGG ), verfahrensabschliessenden Entscheid ( Art. 90 BGG ) eines oberen Gerichts ( Art. 86 Abs. 2 BGG ) betreffend eine Strafsache ( Art. 78 Abs. 1 BGG ) ist grundsätzlich einzutreten.</w:t>
      </w:r>
    </w:p>
    <w:p>
      <w:r>
        <w:rPr>
          <w:b/>
        </w:rPr>
        <w:t>E. 2.1</w:t>
      </w:r>
    </w:p>
    <w:p>
      <w:r>
        <w:t>Die Beschwerdeführerin macht geltend, die Vorinstanz habe ihr den Zeitaufwand für das Plädoyer vom 4. Juli 2019 (Ausarbeitung, inklusive rechtliche Abklärungen und Aktenstudium), welches einen Umfang von 36 Seiten aufweise, zu Unrecht von 22.17 auf 16 Stunden gekürzt. Dabei führe die Vorinstanz aber selbst aus, es sei nicht ersichtlich, dass sich die Verteidigung weitschweifend geäussert habe. Insbesondere sei im angefochtenen Entscheid anerkannt worden, dass sich die Verteidigung mit den Aussagen der Parteien und verschiedener Zeugen auseinandergesetzt hat. Die Vorinstanz nenne keinen Grund, weshalb sie der Honorarnote in diesem Punkt nicht folge. Sie überschreite ihr Ermessen und verfalle in Willkür.</w:t>
      </w:r>
    </w:p>
    <w:p>
      <w:r>
        <w:rPr>
          <w:b/>
        </w:rPr>
        <w:t>E. 2.2</w:t>
      </w:r>
    </w:p>
    <w:p>
      <w:r>
        <w:t>Die Vorinstanz erwägt, die Beschwerdeführerin mache für das Ausarbeiten des Plädoyers einen Aufwand von 22.17 Stunden geltend. Das Plädoyer habe 36 Seiten umfasst, bei einer Schriftgrösse von ca. 14 pt., einem Zeilenabstand von ca. 1.5 Zeilen und erweitertem Abstand zwischen den Wörtern und Zeichen. Der Verteidiger der Beschwerdeführerin habe sich darin ausführlich zum Anklagesachverhalt und zur rechtlichen Würdigung geäussert, wobei er dafür die seit seiner Stellungnahme im Vorverfahren vom 25. April 2014 um verschiedene Zeugenaussagen und Aussagen der Parteien ergänzten Akten würdigen und sich nochmals mit der rechtlichen Qualifikation auseinandersetzen musste. Ein solches Plädoyer könne zwar nicht in 10 Stunden bzw. etwas mehr als einem Arbeitstag verfasst werden, wie das Kantonsgericht erwogen habe. Indessen seien 16 Stunden hierfür angemessen.</w:t>
      </w:r>
    </w:p>
    <w:p>
      <w:r>
        <w:rPr>
          <w:b/>
        </w:rPr>
        <w:t>E. 2.3.1</w:t>
      </w:r>
    </w:p>
    <w:p>
      <w:r>
        <w:t>Wird die beschuldigte Person ganz oder teilweise freigesprochen oder wird das Verfahren gegen sie eingestellt, so hat sie gemäss Art. 429 Abs. 1 lit. a StPO namentlich Anspruch auf Entschädigung ihrer Aufwendungen für die angemessene Ausübung ihrer Verfahrensrechte. Die Strafbehörde prüft den Anspruch von Amtes wegen. Sie kann die beschuldigte Person auffordern, ihre Ansprüche zu beziffern und zu belegen ( Art. 429 Abs. 2 StPO ). Gemäss Art. 436 StPO richten sich Ansprüche auf Entschädigung und Genugtuung im Rechtsmittelverfahren nach den Artikeln 429-434 StPO.</w:t>
      </w:r>
    </w:p>
    <w:p>
      <w:r>
        <w:rPr>
          <w:b/>
        </w:rPr>
        <w:t>E. 2.3.2</w:t>
      </w:r>
    </w:p>
    <w:p>
      <w:r>
        <w:t>Der Staat hat den Parteien grundsätzlich die Gesamtheit der Verteidigungskosten zu entschädigen. Diese müssen aber im Hinblick auf die Komplexität und Schwierigkeit der Rechtssache angemessen sein. Art. 429 StPO enthält keinen Hinweis auf die Berechnung der Entschädigung und im Speziellen auf den Honoraransatz. Die in Art. 429 StPO vorgesehene Entschädigung ist nach dem Reglement oder dem üblichen Tarif desjenigen Kantons zu entschädigen, in welchem der Prozess stattgefunden hat ( BGE 142 IV 163 E. 3.1.2 mit Hinweisen). Dabei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vom Rechtsanwalt geleisteten Aufwänden stehen ( BGE 143 IV 453 E. 2.5.1 ; 141 I 124 E. 4.3; Urteil 6B_203/2022 vom 10. Mai 2023 E. 9.2.2; je mit Hinweisen).</w:t>
      </w:r>
    </w:p>
    <w:p>
      <w:r>
        <w:rPr>
          <w:b/>
        </w:rPr>
        <w:t>E. 2.3.3</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 6B_1232/2021 vom 27. Januar 2022 E. 3.3.6 mit Hinweisen). Gestützt auf den Umstand, dass sich die Entschädigung nach dem im Kanton üblichen Tarif bzw. dem entsprechenden Reglement richtet (vgl. BGE 142 IV 163 E. 3.1.2 mit Hinweisen), ist eine Pauschalisierung grundsätzlich nicht zu beanstanden (Urteil 6B_660/2021 vom 9. November 2022 E. 3.4.3). Die Anwendung des kantonalen Rechts prüft das Bundesgericht, von hier nicht relevanten Ausnahmen abgesehen, grundsätzlich nur unter dem beschränkten Gesichtswinkel der Willkür ( Art. 95 BGG ; BGE 141 IV 305 E. 1.2 mit Hinweisen).</w:t>
      </w:r>
    </w:p>
    <w:p>
      <w:r>
        <w:rPr>
          <w:b/>
        </w:rPr>
        <w:t>E. 2.3.4</w:t>
      </w:r>
    </w:p>
    <w:p>
      <w:r>
        <w:t>Nach Art. 86 Abs. 1 des Justizgesetzes des Kantons Schaffhausen vom 9. November 2009 (JG; SHR 173.200), dessen analoge Anwendbarkeit für das Strafverfahren von der Beschwerdeführerin nicht bestritten wird, setzt das Gericht die Parteientschädigung der obsiegenden Partei im Rahmen der geltenden Vorschriften nach Ermessen fest. Es geht nach Absatz 2 dieser Bestimmung vom Betrag aus, welcher der entschädigungsberechtigten Partei für die anwaltliche Vertretung in Rechnung gestellt wird, soweit (lit. a) der vereinbarte Ansatz üblich ist und keine Erfolgszuschläge enthält, (lit. b) der geltend gemachte Aufwand angemessen und für die Prozessführung erforderlich ist, (lit. c) der Rechnungsbetrag in einem angemessenen Verhältnis zur Bedeutung der Sache steht und (lit. d) die geforderte Entschädigung nicht eine von der Sache bzw. von den legitimen Rechtsschutzbedürfnissen her nicht gerechtfertigte Belastung der unterliegenden Partei zur Folge hat.</w:t>
      </w:r>
    </w:p>
    <w:p>
      <w:r>
        <w:rPr>
          <w:b/>
        </w:rPr>
        <w:t>E. 2.3.5</w:t>
      </w:r>
    </w:p>
    <w:p>
      <w:r>
        <w:t>Nach der Rechtsprechung muss die Entscheidbegründung kurz die wesentlichen Überlegungen nennen, von denen sich das Gericht leiten liess und auf die es seinen Entscheid stützt. Dabei kommt es auf den Einzelfall an, jedoch ist nicht eine detaillierte Antwort auf jedes Argument gefordert ( BGE 146 IV 297 E. 2.2.7; 141 IV 249 E. 1.3.1). Die Begründungspflicht ist eingehalten, wenn die Gründe erkennbar sind, von welchen sich die Behörde bei ihrem Entscheid hat leiten lassen, selbst wenn die angegebene Begründung falsch ist. Im Übrigen kann die Begründung implizit erfolgen und sich aus verschiedenen Erwägungen des angefochtenen Entscheids ergeben ( BGE 141 V 557 E. 3.2.1; Urteil 6B_85/2022 vom 25. August 2022 E. 1.2).</w:t>
      </w:r>
    </w:p>
    <w:p>
      <w:r>
        <w:rPr>
          <w:b/>
        </w:rPr>
        <w:t>E. 2.4.1</w:t>
      </w:r>
    </w:p>
    <w:p>
      <w:r>
        <w:t>Soweit die Beschwerdeführerin sinngemäss eine Verletzung ihres Anspruchs auf rechtliches Gehör ( Art. 29 Abs. 2 BV ) rügt, ist ihr nicht beizupflichten. Aus dem angefochtenen Entscheid ergeben sich die wesentlichen Überlegungen, von welchen sich die Vorinstanz für die Kürzung des Honorars betreffend das Plädoyer hat leiten lassen. Die Beschwerdeführerin konnte den Entscheid denn auch sachgerecht anfechten.</w:t>
      </w:r>
    </w:p>
    <w:p>
      <w:r>
        <w:rPr>
          <w:b/>
        </w:rPr>
        <w:t>E. 2.4.2</w:t>
      </w:r>
    </w:p>
    <w:p>
      <w:r>
        <w:t>Die Kürzung des Honorars für das Plädoyer auf einen pauschalen Aufwand von 16 Stunden bzw. knapp zwei Arbeitstagen ist im Lichte des gegen die Beschwerdeführerin erhobenen relativ überschaubaren Vorwurfs des Aufzeichnens und Abhörens fremder Gespräche im Ergebnis nicht zu beanstanden. Die Vorinstanz berücksichtigt hierbei die Vorarbeiten und den Umstand, dass der Rechtsvertreter der Beschwerdeführerin nicht die gesamten Akten, sondern bloss jene seit seiner Stellungnahme vom 25. April 2014 aufzuarbeiten hatte. Weiter ergibt sich aus ihren Erwägungen, dass der Rechtsvertreter für das Plädoyer grossformatige Zeichen und Abstände gewählt hat, sodass die beschriebenen Seiten eine geringe Dichte im Vergleich zu üblicher Korrespondenz aufweisen. Dass die Vorinstanz den Inhalt, nicht jedoch den hierfür verrechneten Aufwand, als dem Prozess angemessen erachtet, begründet keine Willkür. So garantieren inhaltlich korrekte Ausführungen für sich genommen nicht, dass der hierfür geltend gemachte Aufwand angemessen ist.</w:t>
      </w:r>
    </w:p>
    <w:p>
      <w:r>
        <w:rPr>
          <w:b/>
        </w:rPr>
        <w:t>E. 3.1</w:t>
      </w:r>
    </w:p>
    <w:p>
      <w:r>
        <w:t>Die Beschwerdeführerin beanstandet die rückwirkende Kürzung der Barauslagen für Kopien, den Versand von E-Mails und die Seitenpauschale. Die Vorinstanz wende das kantonale Recht willkürlich an und verletze Bundesrecht.</w:t>
      </w:r>
    </w:p>
    <w:p>
      <w:r>
        <w:rPr>
          <w:b/>
        </w:rPr>
        <w:t>E. 3.2.1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Beurteilt eine Behörde einen Fall abweichend von ihrer Praxis oder der Praxis einer ihr übergeordneten Instanz, ohne dass die genannten Voraussetzungen erfüllt sind, tritt sie in Konflikt mit dem Gleichbehandlungsgebot gemäss Art. 8 BV und dem Postulat der Rechtssicherheit ( BGE 146 I 105 E. 5.2.2 ; 144 I 181 E. 5.3.1; je mit Hinweisen).</w:t>
      </w:r>
    </w:p>
    <w:p>
      <w:r>
        <w:rPr>
          <w:b/>
        </w:rPr>
        <w:t>E. 3.2.2</w:t>
      </w:r>
    </w:p>
    <w:p>
      <w:r>
        <w:t>Grundsätzlich ist eine neue Rechtsprechung sofort und überall anzuwenden. Sie gilt nicht nur für künftige, sondern für alle im Zeitpunkt der Änderung noch hängigen Fälle. Gegen eine Änderung der materiellrechtlichen Praxis gibt es keinen generellen Vertrauensschutz. Bezieht sich die Änderung der Rechtsprechung aber auf die Bedingungen für die Zulässigkeit einer Beschwerde, wie z.B. die Berechnung der Beschwerdefrist, kann sie nicht ohne Warnung erfolgen, wenn sie die Verwirkung eines Rechts nach sich zieht ( BGE 146 I 105 E. 5.1 f.; 142 V 551 E. 4.1; vgl. auch Urteil 2C_284/2021 vom 11. April 2022 E. 12, nicht publ. in: BGE 148 II 299 ; je mit Hinweisen). Gleiches gilt, wenn die Weiterführung der alten Praxis individuell zugesichert wurde oder die Behörde auf andere Weise entsprechende Erwartungen geweckt hatte (Urteile 1C_646/2020 vom 28. März 2022 E. 4.3.1; 2C_199/2017 vom 12. Juni 2018 E. 3.5; je mit Hinweisen).</w:t>
      </w:r>
    </w:p>
    <w:p>
      <w:r>
        <w:t>Führt eine ungebührliche Verfahrensverzögerung durch die Behörden dazu, dass zum Nachteil eines Privaten eine neue Praxis anwendbar wird, die bei rechtzeitiger Verfahrenserledigung noch nicht angewendet worden wäre, so ist es allenfalls denkbar, dass aus Rechtsgleichheits- und Fairnessgründen die frühere Praxis noch anzuwenden ist ( BGE 110 Ib 332 E. 3a; Urteil 2D_10/2020 vom 9. Juli 2020 E. 2.2; je mit Hinweis).</w:t>
      </w:r>
    </w:p>
    <w:p>
      <w:r>
        <w:rPr>
          <w:b/>
        </w:rPr>
        <w:t>E. 3.3.1</w:t>
      </w:r>
    </w:p>
    <w:p>
      <w:r>
        <w:t>Bei der Reduktion der Spesen für Kopien handelt es sich um eine Praxisänderung, welche keine Verwirkung von Rechten (namentlich betreffend Fristwahrung) zur Folge hat. Die Änderung der zu entschädigenden Höhe der Auslagen war demzufolge nicht anzukündigen. Die Rückwirkung der Praxisänderung auf den seit 2014 hängigen Fall erweist sich unter Willkürgesichtspunkten, welche bei der Frage der Höhe der Entschädigung nach kantonalem Recht massgebend sind, sodann als zulässig. Die Beschwerdeführerin behauptet nicht, das Verfahren hätte aufgrund behördlichen Verschuldens ungebührlich lange gedauert. Nichts ableiten kann sie aus dem Umstand, dass ihr die Vorinstanz vor der Praxisänderung in einem Zwischenentscheid einen höheren Spesenansatz für Kopien zugebilligt hat. Daraus ergibt sich keine Zusicherung, auf deren Fortdauer die Beschwerdeführerin vertrauen durfte. Dass der technische Fortschritt, welchen die Vorinstanz zur Begründung heranzieht, nicht bereits im Jahr 2014 eingetreten wäre, ist sodann nicht ersichtlich, zumal die Computerisierung und Informatisierung der gesamten Bürotechnologie bereits ab Beginn der 1990er Jahre, d.h. viel früher begonnen hat. Im Übrigen macht die Beschwerdeführerin in Bezug auf die zeitlichen Feststellungen im vorinstanzlichen Entscheid keine willkürliche Sachverhaltsfeststellung geltend, sondern beschränkt sich auf eigene Behauptungen hinsichtlich der Technisierung, ohne diese näher zu substanziieren. Zwar trifft es zu, dass die Vorinstanz die Spesenpraxis bereits früher hätte anpassen können. Daraus kann die Beschwerdeführerin jedoch nichts zu ihren Gunsten ableiten. Vielmehr ist es mit den von der Beschwerdeführerin angerufenen Rechten vereinbar, wenn die Vorinstanz davon ausgeht, der bisherige Ansatz von Fr. 1.-- pro Kopie enthalte verstecktes Honorar und die Beschwerdeführerin zeige nicht auf, dass ihr höhere Kosten angefallen sein sollen. Diese Ausführungen untermauert die Vorinstanz mit einem interkantonalen Vergleich, wobei sie die Regelungen in elf von 26 (Halb) Kantonen zitiert. Zudem weist sie zutreffend darauf hin, dass in einem gewinnorientierten Kopiercenter üblicherweise viel weniger als Fr. 1.-- pro Kopie verlangt wird (vgl. angefochtener Entscheid S. 12 ff.). Dass im kantonalen Verwaltungsverfahren bzw. bei der Einsicht in Justizakten oder beim Grundbuchamt andere Ansätze gelten, ändert am Ergebnis nichts. Die von der Vorinstanz vorgenommene Praxisänderung ist in Bezug auf die Entschädigung für Kopien sowohl in inhaltlicher wie auch in zeitlicher Hinsicht nicht zu beanstanden.</w:t>
      </w:r>
    </w:p>
    <w:p>
      <w:r>
        <w:rPr>
          <w:b/>
        </w:rPr>
        <w:t>E. 3.3.2</w:t>
      </w:r>
    </w:p>
    <w:p>
      <w:r>
        <w:t>Weiter erweist sich auch die Abschaffung der sogenannten Seitenpauschale als zulässig. Die Vorinstanz führt auch hierfür gewichtige sachliche Gründe an. Die Seitenpauschale diente gemäss ihren Ausführungen dazu, den aus dem Diktieren von Rechtsschriften und Korrespondenz entstandenen Aufwand von Kanzleipersonal abzudecken. Solche Arbeitstechniken würden indes kaum mehr praktiziert und seien nicht zeitgemäss. Zudem stelle die Anzahl der Seiten kaum ein taugliches Kriterium für den Sekretariatsaufwand dar, zumal die Spesen für den reinen Ausdruck bereits separat als Kosten für Kopien in Rechnung gestellt würden. Es fehle an tatsächlich anfallenden Kosten, die eine solche Seitenpauschale rechtfertigen könnten. Diese Pauschale sei auch schweizweit einmalig gewesen. In allen anderen Kantonen sei der Aufwand von Sekretariatspersonal bereits im Stundenansatz des Anwalts inbegriffen (vgl. angefochtener Entscheid S. 11 f.). Die Vorinstanz durfte dem technischen Fortschritt ganz grundsätzlich Rechnung tragen, um die Praxis pauschal in Bezug auf alle hängigen und künftigen Fälle zu ändern und damit der grossmehrheitlichen Praxis Rechnung tragen, unabhängig davon, welcher Ausfertigungstechniken sich einzelne konkrete Rechtsvertreter bedienen. Die Praxisänderung war auch in diesem Zusammenhang nicht anzukündigen, zumal damit keine Verwirkung von Fristen oder Ähnliches verbunden ist. Ihre Anwendung auf die gesamte Verfahrensdauer verstösst nicht gegen die von der Beschwerdeführerin angerufenen Rechte.</w:t>
      </w:r>
    </w:p>
    <w:p>
      <w:r>
        <w:rPr>
          <w:b/>
        </w:rPr>
        <w:t>E. 3.3.3</w:t>
      </w:r>
    </w:p>
    <w:p>
      <w:r>
        <w:t>Auch eine Verletzung des allgemeinen Rechtsgleichheitsgebots ( Art. 8 Abs. 1 BV ) und des Willkürverbots ( Art. 9 Abs. 1 BV ) ist nicht ersichtlich. Die Vorinstanz hat eine allgemeine Praxisänderung vorgenommen und nicht etwa signalisiert, diese nur auf den hängigen Fall der Beschwerdeführerin anzuwenden. Insoweit werden alle Personen mit hängigen Verfahren gleich behandelt, auch bezüglich bereits angefallener Kopien und ausgefertigter Seiten.</w:t>
      </w:r>
    </w:p>
    <w:p>
      <w:r>
        <w:rPr>
          <w:b/>
        </w:rPr>
        <w:t>E. 3.3.4</w:t>
      </w:r>
    </w:p>
    <w:p>
      <w:r>
        <w:t>Schliesslich befasst sich die Beschwerdeführerin in ihrer Beschwerde nicht mit der vorinstanzlichen Begründung, warum die Spesen pro versandtem E-Mail von Fr. 0.40 gestrichen wurden. Auf ihre Rüge ist insoweit nicht einzutreten.</w:t>
      </w:r>
    </w:p>
    <w:p>
      <w:r>
        <w:rPr>
          <w:b/>
        </w:rPr>
        <w:t>E. 4</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