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7B_175/2024 vom 11. Juli 2024</w:t>
      </w:r>
    </w:p>
    <w:p>
      <w:r>
        <w:t>Bundesgericht, 2024-07-11, FR</w:t>
      </w:r>
    </w:p>
    <w:p>
      <w:r>
        <w:rPr>
          <w:b/>
        </w:rPr>
        <w:t xml:space="preserve">Quelle: </w:t>
      </w:r>
      <w:r>
        <w:t>https://mcp.opencaselaw.ch/entscheid/bger_7B_175_2024</w:t>
      </w:r>
    </w:p>
    <w:p>
      <w:r>
        <w:t>FR: TF 7B_175/2024 du 11 juillet 2024</w:t>
      </w:r>
    </w:p>
    <w:p>
      <w:r>
        <w:t>IT: TF 7B_175/2024 del 11 luglio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L'ordonnance attaquée a été rendue le 10 janvier 2024 et les modifications du Code de procédure pénale entrées en vigueur le 1er janvier 2024 (RO 2023 468) sont dès lors applicables (cf. art. 448 CPP ).</w:t>
      </w:r>
    </w:p>
    <w:p>
      <w:r>
        <w:rPr>
          <w:b/>
        </w:rPr>
        <w:t>E. 1.3</w:t>
      </w:r>
    </w:p>
    <w:p>
      <w:r>
        <w:t>Conformément aux art. 78, 80 al. 2</w:t>
      </w:r>
    </w:p>
    <w:p>
      <w:r>
        <w:t>in fine LTF, 248a al. 4 et 5 3e phrase, 380 et 393 al. 1 let. c CPP, le recours en matière pénale est ouvert contre les décisions relatives à des procédures de scellés rendues par le Tribunal des mesures de contrainte, lequel statue définitivement ( ATF 144 IV 74 consid. 2.3; 143 IV 462 consid. 1; arrêts 7B_1002/2023 du 24 mai 2024 consid. 1.1; 7B_209/2024 du 8 mai 2024 consid. 1.1).</w:t>
      </w:r>
    </w:p>
    <w:p>
      <w:r>
        <w:rPr>
          <w:b/>
        </w:rPr>
        <w:t>E. 2.1</w:t>
      </w:r>
    </w:p>
    <w:p>
      <w:r>
        <w:t>Ne mettant pas un terme à la procédure pénale ouverte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 ATF 143 IV 462 consid. 1; arrêts 7B_1002/2023 du 24 mai 2024 consid. 1.2; 7B_271/2024 du 14 mai 2024 consid. 2.4.1).</w:t>
      </w:r>
    </w:p>
    <w:p>
      <w:r>
        <w:rPr>
          <w:b/>
        </w:rPr>
        <w:t>E. 2.1.1</w:t>
      </w:r>
    </w:p>
    <w:p>
      <w:r>
        <w:t>La condition posée à l' art. 93 al. 1 let. a LTF est en principe réalisée dans la mesure où le détenteur des éléments sous scellés se prévaut, d'une manière suffisamment motivée, d'une atteinte à un secret protégé, soit notamment au secret professionnel de l'avocat ( ATF 143 IV 462 consid. 1; arrêt 7B_1002/2023 du 24 mai 2024 consid. 1.2.1 et les arrêts cités) ou, s'agissant à tout le moins du prévenu, au secret commercial ou des affaires (cf. art. 248 al. 1 CPP renvoyant, par le biais de l' art. 264 al. 1 let . c CPP, à l' art. 173 al. 2 CPP ; arrêt 7B_661/2023 du 21 mai 2024 consid. 1.3.1 et les arrêts cités; LUMENGO PAKA/AESCHBACHER, StPO-Revision : die Neuerungen im Siegelungs- und Entsiegelungsverfahren, in forumpoenale 6/2023, p. 457 ss, ch. II/1/c p. 459; BOMMER/GOLDSCHMID, in Basler Kommentar, Strafprozessordnung/Jugendstrafprozessordnung, 3e éd. 2023, n° 38 ad art. 264 CPP ; HANS VEST, in Basler Kommentar, Strafprozessordnung/Jugendstrafprozessordnung, 3e éd. 2023, n° 5 ad art. 173 CPP ; JOSITSCH/SCHMID, Praxiskommentar, Schweizerische Strafprozessordunug, 4e éd. 2023, nos 4 s. ad art. 173 CPP ; DAMIAN K. GRAF, Praxishandbuch zur Siegelung, 2022, n° 682 p. 244; STEFAN HEIMGARTNER, in DONATSCH/LIEBER/SUMMER/WOHLERS [édit.], Kommentar zur Schweizerischen Strafprozessordnung, [StPO], Art. 196-457, 3e éd. 2020, nos 17 ss ad art. 264 CPP ; STÉPHANE WERLY, in Commentaire romand, Code de procédure pénale suisse, 2e éd. 2019, n° 15 ad art. 173 CPP ; ANNE VALÉRIE JULEN BERTHOD, in Commentaire romand, Code de procédure pénale suisse, 2e éd. 2019, n° 13 ad art. 264 CPP ; sur les droits,</w:t>
      </w:r>
    </w:p>
    <w:p>
      <w:r>
        <w:t>a priori restreints, des personnes non prévenues, voir DAMIAN K. GRAF, Die Strafprozessuale Siegelung nach der Revision, in SJZ 2023/13 p. 679 ss, n° VII p. 685).</w:t>
      </w:r>
    </w:p>
    <w:p>
      <w:r>
        <w:t>En procédure pénale, le secret des affaires ou un secret au sens de l' art. 162 CP ne bénéficie pas de la même protection que les secrets professionnels ou de fonction visés par les art. 170 et 171 CPP . Selon l' art. 173 al. 2 1 re phrase CPP, les détenteurs d'autres secrets protégés par la loi sont en effet tenus de déposer. Ils peuvent en être dispensés lorsqu'ils rendent vraisemblable que l'intérêt au maintien du secret l'emporte sur l'intérêt à la manifestation de la vérité (cf. art. 173 al. 2 2 e phrase CPP; ATF 145 IV 273 consid. 3.3; arrêt 7B_661/2023 du 21 mai 2024 consid. 1.3.2 et les arrêts cités).</w:t>
      </w:r>
    </w:p>
    <w:p>
      <w:r>
        <w:rPr>
          <w:b/>
        </w:rPr>
        <w:t>E. 2.1.2</w:t>
      </w:r>
    </w:p>
    <w:p>
      <w:r>
        <w:t>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(voir en lien avec l'ancien art. 248 al. 1 CPP dans sa teneur jusqu'au 31 décembre 2023 [RO 2010 1881], arrêts 7B_1002/2023 du 24 mai 2024 consid. 1.2.1; 7B_661/2023 du 21 mai 2024 consid. 1.3.1 et les arrêts cités).</w:t>
      </w:r>
    </w:p>
    <w:p>
      <w:r>
        <w:rPr>
          <w:b/>
        </w:rPr>
        <w:t>E. 2.1.3</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7B_1002/2023 du 24 mai 2024 consid. 1.2.2 et les arrêts cités).</w:t>
      </w:r>
    </w:p>
    <w:p>
      <w:r>
        <w:t>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 7B_2/2023 du 12 mars 2024 consid. 2.3.1 et les arrêts cités).</w:t>
      </w:r>
    </w:p>
    <w:p>
      <w:r>
        <w:rPr>
          <w:b/>
        </w:rPr>
        <w:t>E. 2.2.1</w:t>
      </w:r>
    </w:p>
    <w:p>
      <w:r>
        <w:t>S'agissant tout d'abord du PC portable Acer et du disque dur, les scellés apposés sur ces deux supports ne sont pas levés dans l'ordonnance entreprise, laquelle précise en outre expressément qu'à leur égard la procédure se poursuit (cf. consid. 5 et ch. III du dispositif). En ce qui les concerne, le recourant ne subit en l'état aucun risque de préjudice irréparable.</w:t>
      </w:r>
    </w:p>
    <w:p>
      <w:r>
        <w:rPr>
          <w:b/>
        </w:rPr>
        <w:t>E. 2.2.2</w:t>
      </w:r>
    </w:p>
    <w:p>
      <w:r>
        <w:t>Pour justifier l'entrée en matière sur son recours, le recourant ne se prévaut pas d'une éventuelle atteinte à sa sphère privée.</w:t>
      </w:r>
    </w:p>
    <w:p>
      <w:r>
        <w:t>Il se contente d'ailleurs, sur le fond, d'invoquer l'existence de données privées sur l'iPhone 11 et la clé USB n° 5 de l'inventaire (cf. ch. 72 et 74 p. 17 du recours), sans apporter le moindre élément visant à étayer ses affirmations. En particulier, il ne donne aucune indication qui permettrait, le cas échéant, d'identifier ces données; il ne prétend d'ailleurs pas l'avoir fait devant l'instance précédente, par exemple en lui soumettant une liste, même non exhaustive, de ses contacts personnels ou de mots-clés en lien avec cette problématique particulière. Faute de démonstration et vu les exigences en matière de collaboration prévalant en matière de scellés (cf. sur notion, voir ATF 143 IV 462 consid. 2.3; arrêt 7B_524/2023 du 29 janvier 2024 consid. 3.2.3</w:t>
      </w:r>
    </w:p>
    <w:p>
      <w:r>
        <w:t>in fine et les arrêts cités), le maintien de cette mesure ne paraît donc pas entrer en considération pour un tel motif.</w:t>
      </w:r>
    </w:p>
    <w:p>
      <w:r>
        <w:rPr>
          <w:b/>
        </w:rPr>
        <w:t>E. 2.2.3</w:t>
      </w:r>
    </w:p>
    <w:p>
      <w:r>
        <w:t>Pour établir l'existence d'un préjudice irréparable, le recourant se prévaut du secret des affaires dû à son nouvel employeur (cf. ch. 15 s. p. 4 s du recours).</w:t>
      </w:r>
    </w:p>
    <w:p>
      <w:r>
        <w:t>Il ne saurait cependant invoquer un tel secret pour s'opposer à la levée des scellés dans la présente cause. En effet, dans la procédure pénale en cours, il a la qualité de prévenu à qui il est justement reproché d'avoir, dans le cadre de sa nouvelle activité professionnelle et par le biais</w:t>
      </w:r>
    </w:p>
    <w:p>
      <w:r>
        <w:t>a priori des supports litigieux, violé le secret commercial de son ancien employeur ou une clause de non-concurrence protégeant en principe ce dernier (cf. consid. 3.1 p. 5 de l'ordonnance attaquée; ATF 142 IV 207 consid. 10; arrêts 7B_661/2023 du 21 mai 2024 consid. 1.4.1; 7B_44/2023 du 24 août 2023 consid. 1.2.4; 1B_282/2021 du 23 novembre 2021 consid. 2.3; 1B_132/2021 du 23 septembre 2021 consid. 2.3).</w:t>
      </w:r>
    </w:p>
    <w:p>
      <w:r>
        <w:t>Un risque de préjudice irréparable en lien avec un éventuel secret des affaires paraît d'autant moins réalisé en l'espèce que le recourant soutient que seuls des éléments privés se trouveraient sur l'iPhone 11 (cf. ch. 72 p. 17 du recours), que la clé USB n° 4 selon l'inventaire pourrait être vide (cf. ch. 73 p. 17 du recours) et qu'au vu de leur intitulé - "B.________" -, les documents divers ne paraissent pas concerner le nouvel employeur du recourant. Enfin, faute de toute considération dans l'ordonnance attaquée, ainsi que d'une quelconque argumentation visant à démontrer un établissement arbitraire des faits dans le recours en matière pénale, il n'est pas établi que le MacBook Air permette une connexion en continu à une "dropbox" du nouvel employeur du recourant, respectivement que celui-là l'aurait maintenue à la suite des perquisitions opérées - certes en vain - dans ses locaux.</w:t>
      </w:r>
    </w:p>
    <w:p>
      <w:r>
        <w:rPr>
          <w:b/>
        </w:rPr>
        <w:t>E. 2.2.4</w:t>
      </w:r>
    </w:p>
    <w:p>
      <w:r>
        <w:t>La procédure de scellés tend principalement à soustraire des éléments à la connaissance des autorités pénales ( ATF 148 IV 221 consid. 2.1; 142 IV 372 consid. 3.1). Un risque de préjudice irréparable ne résulte dès lors pas non plus en principe du seul fait que la partie plaignante pourrait avoir accès aux données litigieuses. Il s'agit en effet d'un inconvénient inhérent à toute procédure pénale (arrêts 7B_207/2023 du 22 février 2024 consid. 1.2.3; 7B_194/2023 du 17 janvier 2024 consid. 3.1; 7B_917/2023 du 5 décembre 2023 consid. 2.2.2; 7B_327/2023 du 4 septembre 2023 consid. 2.3.2).</w:t>
      </w:r>
    </w:p>
    <w:p>
      <w:r>
        <w:t>Si le recourant devait en outre estimer qu'une restriction de l'accès au dossier pour la partie plaignante serait nécessaire pour protéger des intérêts publics ou privés, il a toujours la possibilité de formuler une requête en ce sens auprès du Ministère public (cf. art. 102 et 108 CPP ; arrêts 7B_661/2023 du 21 mai 2024 consid. 1.4.1; 7B_917/2023 du 5 décembre 2023 consid. 2.2.2 et les arrêts cités).</w:t>
      </w:r>
    </w:p>
    <w:p>
      <w:r>
        <w:rPr>
          <w:b/>
        </w:rPr>
        <w:t>E. 2.3</w:t>
      </w:r>
    </w:p>
    <w:p>
      <w:r>
        <w:t>En définitive et faute de motivation suffisante, le recourant ne rend pas vraisemblable que l'ordonnance attaquée porterait atteinte à un secret protégé. Partant, elle n'est pas susceptible de lui causer un préjudice irréparable (cf. art. 42 al. 2 et 93 al. 1 let. a LTF; arrêt 7B_1002/2023 du 24 mai 2024 consid. 1.4 et l'arrêt cité).</w:t>
      </w:r>
    </w:p>
    <w:p>
      <w:r>
        <w:rPr>
          <w:b/>
        </w:rPr>
        <w:t>E. 3.1</w:t>
      </w:r>
    </w:p>
    <w:p>
      <w:r>
        <w:t>Le recourant se prévaut encore en substance de violations de ses droits de procédures pour justifier l'entrée en matière sur son recours (cf. ch. 17 p. 5 du recours).</w:t>
      </w:r>
    </w:p>
    <w:p>
      <w:r>
        <w:t>Vu l'issue du litige sur cette problématique, les questions de recevabilité la concernant peuvent rester indécises.</w:t>
      </w:r>
    </w:p>
    <w:p>
      <w:r>
        <w:rPr>
          <w:b/>
        </w:rPr>
        <w:t>E. 3.2</w:t>
      </w:r>
    </w:p>
    <w:p>
      <w:r>
        <w:t>Le recourant reproche tout d'abord à l'autorité précédente de n'avoir pas statué sur sa demande du 24 novembre 2023 visant à obtenir une prolongation ou un nouveau délai pour se déterminer sur la requête de levée des scellés (cf. ch. 48 ss p. 12 s. du recours).</w:t>
      </w:r>
    </w:p>
    <w:p>
      <w:r>
        <w:t>Une simple lecture du courrier litigieux suffit pour écarter ce grief. Il en ressort en effet, comme rappelé d'ailleurs à juste titre dans l'ordonnance attaquée (cf. let. B.c p. 3), que la demande de prolongation ou d'octroi d'un nouveau délai pour se déterminer ne visait que l'hypothèse où la consultation préalable des pièce sous scellés serait accordée (" mon mandant requiert une prolongation de délai, respectivement qu'un nouveau délai lui soit imparti pour se déterminer sur le fond de la requête de levée des scellés du Ministère public, cela après qu'il aura pu consulter les éléments sous scellés" [mise en évidence par la rédaction]). Dans la mesure où l'autorité précédente a refusé ladite consultation (cf. consid. 4 p. 7 s. de l'ordonnance attaquée), elle n'avait plus à se prononcer sur l'éventuel octroi d'un délai supplémentaire.</w:t>
      </w:r>
    </w:p>
    <w:p>
      <w:r>
        <w:rPr>
          <w:b/>
        </w:rPr>
        <w:t>E. 3.3</w:t>
      </w:r>
    </w:p>
    <w:p>
      <w:r>
        <w:t>Quant à la violation du droit d'être entendu invoquée en lien avec le refus d'accorder au recourant le droit de consulter les pièces sous scellés (sur cette question, voir arrêt 7B_720/2023 du 11 avril 2024 consid. 4.3.2 et les nombreux arrêts cités), les griefs y relatifs doivent être rejetés dans la mesure où ils seraient recevables.</w:t>
      </w:r>
    </w:p>
    <w:p>
      <w:r>
        <w:t>En effet, le recourant ne développe aucune argumentation visant à contester les motifs retenus par l'autorité précédente pour lui refuser un accès aux pièces sous scellés ( art. 42 al. 2 LTF ; cf. consid. 4 p. 7 s. de l'ordonnance attaquée). Il ne soutient ainsi pas que l'absence de sauvegarde de son téléphone cellulaire et de son ordinateur constituerait une justification suffisante pour obtenir un tel accès et n'explique au demeurant pas pourquoi tel devrait être le cas. Il ne prétend ensuite pas avoir motivé spécifiquement ses prétentions en lien avec les clés USB - dont l'une serait vide - et les documents divers estampillés "B.________", lesquels étaient, selon le TMC, peu volumineux et détenus à son domicile. Dans le cadre de son recours au Tribunal fédéral (cf. notamment ch. 66 ss p. 16 ss de cette écriture), le recourant ne peut par conséquent pas tenter de pallier le défaut de motivation des déterminations déposées devant l'instance précédente.</w:t>
      </w:r>
    </w:p>
    <w:p>
      <w:r>
        <w:t>En tout état de cause, vu la nature particulière de la procédure de scellés, se référer au caractère sensible des données en cause ne suffit en principe pas pour justifier un droit d'accès aux pièces sous scellés (cf. ch. 66 p. 16 du recours). Un tel droit ne saurait en outre permettre au recourant de chercher</w:t>
      </w:r>
    </w:p>
    <w:p>
      <w:r>
        <w:t>a posteriori d'éventuels arguments en faveur d'un autre secret à invoquer que ceux déjà soulevés au moment de la demande de mise sous scellés, étant rappelé qu'il doit en principe savoir, au moment où il formule sa demande de mise sous scellés, ce qui se trouve dans les documents ou supports en cause (cf. arrêt 7B_720/2023 du 11 avril 2024 consid. 4.3.2).</w:t>
      </w:r>
    </w:p>
    <w:p>
      <w:r>
        <w:rPr>
          <w:b/>
        </w:rPr>
        <w:t>E. 3.4</w:t>
      </w:r>
    </w:p>
    <w:p>
      <w:r>
        <w:t>Le recourant se plaint encore d'une violation de l' art. 248a al. 4 CPP , soutenant que la cause n'aurait pas été en état d'être jugée et qu'une audience aurait dû être appointée (cf. ch. 84 ss p. 19 s. du recours).</w:t>
      </w:r>
    </w:p>
    <w:p>
      <w:r>
        <w:t>Dans la mesure où cela constituerait une violation de ses droits de partie permettant l'entrée en matière, les arguments avancés pour étayer la complexité de la cause afin de justifier une audience se fondent essentiellement sur les deux violations du droit d'être entendu invoquées par le recourant (cf. ch. 87 p. 19 du recours). Alors même qu'il n'est pas d'emblée évident de comprendre le lien entre les deux violations alléguées et la complexité de la cause, celles-ci ont été écartées (cf. consid. 3.2 et 3.3</w:t>
      </w:r>
    </w:p>
    <w:p>
      <w:r>
        <w:t>supra ). Il ne saurait donc être reproché à l'autorité précédente d'avoir considéré que la cause - s'agissant en outre des supports faisant l'objet du présent litige (cf.</w:t>
      </w:r>
    </w:p>
    <w:p>
      <w:r>
        <w:t>a contrario consid. 2.2.1</w:t>
      </w:r>
    </w:p>
    <w:p>
      <w:r>
        <w:t>supra ) - était en état d'être jugée, ce que n'ignorait d'ailleurs pas le recourant dès le 15 décembre 2023 vu l'avis de l'autorité précédente l'en informant.</w:t>
      </w:r>
    </w:p>
    <w:p>
      <w:r>
        <w:rPr>
          <w:b/>
        </w:rPr>
        <w:t>E. 4</w:t>
      </w:r>
    </w:p>
    <w:p>
      <w:r>
        <w:t>Il s'ensuit que le recours doit être rejeté dans la mesure où il est recevable.</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