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174/2024 vom 22. April 2024</w:t>
      </w:r>
    </w:p>
    <w:p>
      <w:r>
        <w:t>Bundesgericht, 2024-04-22, FR</w:t>
      </w:r>
    </w:p>
    <w:p>
      <w:r>
        <w:rPr>
          <w:b/>
        </w:rPr>
        <w:t xml:space="preserve">Quelle: </w:t>
      </w:r>
      <w:r>
        <w:t>https://mcp.opencaselaw.ch/entscheid/bger_7B_174_2024</w:t>
      </w:r>
    </w:p>
    <w:p>
      <w:r>
        <w:t>FR: TF 7B 174/2024 du 22 avril 2024</w:t>
      </w:r>
    </w:p>
    <w:p>
      <w:r>
        <w:t>IT: TF 7B 174/2024 del 22 aprile 2024</w:t>
      </w:r>
    </w:p>
    <w:p>
      <w:pPr>
        <w:pStyle w:val="Heading2"/>
      </w:pPr>
      <w:r>
        <w:t>Regeste</w:t>
      </w:r>
    </w:p>
    <w:p>
      <w:r>
        <w:t>Ordonnance de classement partiel;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7B_507/2023 précité consid. 1.2.1; 7B_41/2022 précité consid. 1.2.2).</w:t>
      </w:r>
    </w:p>
    <w:p>
      <w:r>
        <w:rPr>
          <w:b/>
        </w:rPr>
        <w:t>E. 1.2</w:t>
      </w:r>
    </w:p>
    <w:p>
      <w:r>
        <w:t>En l'espèce, la recourante estime que les faits dénoncés - ayant pour objet une altercation lors de laquelle son époux l'aurait menacée de "lui foutre dessus si elle ne foutait pas le camp" - pourraient être constitutifs d'une infraction de menaces qualifiées, subsidiairement de contrainte, et que la responsabilité délictuelle de son époux (intimé 2) serait engagée selon l' art. 41 CO . Elle entend demander dans le procès pénal la réparation du dommage qu'elle aurait subi, soit notamment les frais médicaux non remboursés en lien avec la thérapie engagée à la suite des faits dénoncés, ainsi que l'indemnisation de son tort moral. Elle estime ainsi qu'en portant atteinte à son intégrité psychique, l'infraction dénoncée aurait eu des conséquences lourdes.</w:t>
      </w:r>
    </w:p>
    <w:p>
      <w:r>
        <w:rPr>
          <w:b/>
        </w:rPr>
        <w:t>E. 1.3</w:t>
      </w:r>
    </w:p>
    <w:p>
      <w:r>
        <w:t>Cela étant, la recourante ne s'exprime, par une motivation conforme aux exigences en la matière, ni sur le principe ni sur la quotité d'un éventuel tort moral ou autre dommage dont elle pourrait demander la réparation en raison de l'infraction de menaces qualifiées dénoncée dans sa plainte du 26 avril 2022. Elle ne rend pas vraisemblable que les troubles psychiques dont elle souffrirait résulteraient directement de l'infraction alléguée et ne chiffre pas, même de manière grossière, le tort moral ainsi que les autres postes du dommage dont elle entendrait réclamer l'indemnisation. La recourante ne livre par ailleurs aucune explication sur les raisons qui l'empêcheraient, près de deux ans après les faits dénoncés, de motiver plus avant ses éventuelles prétentions civiles, respectivement de les chiffrer. On ne peut enfin pas déduire, directement et sans ambiguïté, de la nature de l'infraction alléguée quelles seraient concrètement les prétentions civiles que la recourante pourrait faire valoir dans le procès pénal. Sa motivation sur la question des prétentions civiles, manifestement insuffisante, exclut dès lors sa qualité pour recourir sur le fond de la cause en application de l'art. 81 al. 1 let. a 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être constatée dans la procédure simplifiée prévue par l' art. 108 al. 1 let. a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