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7B_173/2026 vom 30. März 2026</w:t>
      </w:r>
    </w:p>
    <w:p>
      <w:r>
        <w:t>Bundesgericht, 2026-03-30, DE</w:t>
      </w:r>
    </w:p>
    <w:p>
      <w:r>
        <w:rPr>
          <w:b/>
        </w:rPr>
        <w:t xml:space="preserve">Quelle: </w:t>
      </w:r>
      <w:r>
        <w:t>https://mcp.opencaselaw.ch/entscheid/bger_7B_173_2026</w:t>
      </w:r>
    </w:p>
    <w:p>
      <w:r>
        <w:t>FR: TF 7B_173/2026 du 30 mars 2026</w:t>
      </w:r>
    </w:p>
    <w:p>
      <w:r>
        <w:t>IT: TF 7B_173/2026 del 30 marzo 2026</w:t>
      </w:r>
    </w:p>
    <w:p>
      <w:pPr>
        <w:pStyle w:val="Heading2"/>
      </w:pPr>
      <w:r>
        <w:t>Erwägungen</w:t>
      </w:r>
    </w:p>
    <w:p>
      <w:r>
        <w:rPr>
          <w:b/>
        </w:rPr>
        <w:t>E. 1</w:t>
      </w:r>
    </w:p>
    <w:p>
      <w:r>
        <w:t>Mit Beschluss vom 8. Januar 2026 wies das Obergericht des Kantons Zürich die Beschwerde des Beschwerdeführers gegen die Nichtanhandnahmeverfügung der Staatsanwaltschaft Zürich-Limmat vom 3. Dezember 2024 ab. Der Beschwerdeführer gelangte dagegen mit Beschwerde in Strafsachen vom 11. Februar 2026 (Postaufgabe) an das Bundesgericht.</w:t>
      </w:r>
    </w:p>
    <w:p>
      <w:r>
        <w:rPr>
          <w:b/>
        </w:rPr>
        <w:t>E. 2</w:t>
      </w:r>
    </w:p>
    <w:p>
      <w:r>
        <w:t>Die Eingabe des Beschwerdeführers erfüllt offensichtlich nicht die Anforderungen an die Begründung einer Beschwerde an das Bundesgericht ( Art. 42 Abs. 2 und Art. 106 Abs. 2 BGG ; BGE 148 IV 356 E. 2.1, 39 E. 2.3.5; 142 III 364 E. 2.4), da sie sich nicht zu einem Zivilanspruch im Sinne von Art. 81 Abs. 1 lit. b Ziff. 5 BGG äussert,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Beschwerdelegitimation berechtigt wäre, da sie namentlich von der Prüfung der Sache getrennt werden können und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