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7B_16/2026 vom 21. Januar 2026</w:t>
      </w:r>
    </w:p>
    <w:p>
      <w:r>
        <w:t>Bundesgericht, 2026-01-21, DE</w:t>
      </w:r>
    </w:p>
    <w:p>
      <w:r>
        <w:rPr>
          <w:b/>
        </w:rPr>
        <w:t xml:space="preserve">Quelle: </w:t>
      </w:r>
      <w:r>
        <w:t>https://mcp.opencaselaw.ch/entscheid/bger_7B_16_2026</w:t>
      </w:r>
    </w:p>
    <w:p>
      <w:r>
        <w:t>FR: TF 7B_16/2026 du 21 janvier 2026</w:t>
      </w:r>
    </w:p>
    <w:p>
      <w:r>
        <w:t>IT: TF 7B_16/2026 del 21 gennaio 2026</w:t>
      </w:r>
    </w:p>
    <w:p>
      <w:pPr>
        <w:pStyle w:val="Heading2"/>
      </w:pPr>
      <w:r>
        <w:t>Erwägungen</w:t>
      </w:r>
    </w:p>
    <w:p>
      <w:r>
        <w:rPr>
          <w:b/>
        </w:rPr>
        <w:t>E. 1</w:t>
      </w:r>
    </w:p>
    <w:p>
      <w:r>
        <w:t>Gemäss Art. 42 BGG hat die Beschwerdeschrift insbesondere die Begehren und deren Begründung zu enthalten (Abs. 1). In der Begründung ist in gedrängter Form darzulegen, inwiefern der angefochtene Akt Recht verletzt (Abs. 2). Demnach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w:t>
      </w:r>
    </w:p>
    <w:p>
      <w:r>
        <w:rPr>
          <w:b/>
        </w:rPr>
        <w:t>E. 2</w:t>
      </w:r>
    </w:p>
    <w:p>
      <w:r>
        <w:t>Die Eingabe vom 29. Dezember 2025 entspricht nicht diesen Vorgaben. Sie enthält kein Rechtsbegehren und keine den Anforderungen genügende Begründung, da sie nicht nachvollziehbar auf die Erwägungen des angefochtenen Entscheids eingeht. Auf die Beschwerde ist demzufolge nicht einzutreten. Ausnahmsweise kann darauf verzichtet werden, Kosten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