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7B_166/2026 vom 30. März 2026</w:t>
      </w:r>
    </w:p>
    <w:p>
      <w:r>
        <w:t>Bundesgericht, 2026-03-30, DE</w:t>
      </w:r>
    </w:p>
    <w:p>
      <w:r>
        <w:rPr>
          <w:b/>
        </w:rPr>
        <w:t xml:space="preserve">Quelle: </w:t>
      </w:r>
      <w:r>
        <w:t>https://mcp.opencaselaw.ch/entscheid/bger_7B_166_2026</w:t>
      </w:r>
    </w:p>
    <w:p>
      <w:r>
        <w:t>FR: TF 7B_166/2026 du 30 mars 2026</w:t>
      </w:r>
    </w:p>
    <w:p>
      <w:r>
        <w:t>IT: TF 7B_166/2026 del 30 marzo 2026</w:t>
      </w:r>
    </w:p>
    <w:p>
      <w:pPr>
        <w:pStyle w:val="Heading2"/>
      </w:pPr>
      <w:r>
        <w:t>Erwägungen</w:t>
      </w:r>
    </w:p>
    <w:p>
      <w:r>
        <w:rPr>
          <w:b/>
        </w:rPr>
        <w:t>E. 1</w:t>
      </w:r>
    </w:p>
    <w:p>
      <w:r>
        <w:t>A.A.________ (nachfolgend: der Beschwerdeführer) erstattete am 26. März 2025 bzw. 2. April 2025 Strafanzeige gegen seinen Bruder B.A.________ und stellte Strafantrag wegen Betrugs. Am 15. April 2025 verfügte die Staatsanwaltschaft Zürich-Sihl die Nichtanhandnahme einer Untersuchung. Dagegen erhob der Beschwerdeführer Beschwerde, welche das Obergericht des Kantons Zürich mit Beschluss vom 9. Februar 2026 abwies.</w:t>
      </w:r>
    </w:p>
    <w:p>
      <w:r>
        <w:t>Der Beschwerdeführer gelangt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Der Beschwerdeführer wirft seinem Bruder vor, durch eine Meldung an die KESB in Zürich beabsichtigt zu haben, dass ihm sämtliche Rechte entzogen würden, was seinem Bruder insbesondere die rechtswidrige Übernahme der Firma C.________ SA ermöglicht hätte. Die Vorinstanz erwägt, der Betrug zum Nachteil eines Angehörigen werde nur auf Antrag verfolgt. Der Beschwerdeführer habe angegeben, das am 11. November 2022 bei der KESB eingereichte Schreiben seines Bruders am 1. September 2023 erstmals eingesehen zu haben. In jenem Zeitpunkt habe er Kenntnis von Tat und Täter erlangt, sodass die dreimonatige Frist zur Stellung des Strafantrags zu laufen begonnen habe. Der vom Beschwerdeführer anlässlich der Einvernahme vom 2. April 2025 gestellte Strafantrag sei verspätet erfolgt. Auch soweit er vorgebracht habe, bereits im Oktober 2023 die Staatsanwaltschaft und am 11. März 2024 die Oberstaatsanwaltschaft über die vermeintlich betrügerischen Machenschaften seines Bruders in Kenntnis gesetzt zu haben, sei den fraglichen Schreiben kein explizit gestellter oder auch nur sinngemässer Strafantrag wegen eines angeblich durch seinen Bruder begangenen, versuchten Betrugsdelikts bzw. kein Antrag auf strafrechtliche Verfolgung eines konkreten Lebenssachverhalts zu entnehmen. Selbst wenn ein rechtzeitiger Strafantrag vorläge, erwiese sich die angefochtene Nichtanhandnahme dennoch als zulässig, da der fragliche Straftatbestand eindeutig nicht erfüllt sei.</w:t>
      </w:r>
    </w:p>
    <w:p>
      <w:r>
        <w:rPr>
          <w:b/>
        </w:rPr>
        <w:t>E. 3.2</w:t>
      </w:r>
    </w:p>
    <w:p>
      <w:r>
        <w:t>Mit diesen Erwägungen, insbesondere zur Rechtzeitigkeit des erforderlichen Strafantrags (vgl. Art. 146 Abs. 3 StGB ), setzt sich der Beschwerdeführer nicht rechtsgenüglich auseinander. Sein Einwand, die Strafverfolgungsbehörden hätten den Betrugsvorwurf von Amtes wegen prüfen müssen, geht an der Sache vorbei. Inwiefern die Vorinstanz bei ihren tatsächlichen Feststellungen in Willkür verfallen wäre und/oder beim von ihr festgestellten Sachverhalt gegen das Recht verstossen hätte, zeigt der Beschwerdeführer jedenfalls nicht auf. Damit kommt er den Begründungsanforderungen vor Bundesgericht nicht nach. Der Begründungsmangel ist offensichtlich ( Art. 42 Abs. 2, Art. 106 Abs. 2 BGG ).</w:t>
      </w:r>
    </w:p>
    <w:p>
      <w:r>
        <w:rPr>
          <w:b/>
        </w:rPr>
        <w:t>E. 4</w:t>
      </w:r>
    </w:p>
    <w:p>
      <w:r>
        <w:t>Auf die Beschwerde ist im vereinfachten Verfahren nach Art. 108 BGG nicht einzutreten. 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