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165/2022 vom 20. Juli 2023</w:t>
      </w:r>
    </w:p>
    <w:p>
      <w:r>
        <w:t>Bundesgericht, 2023-07-20, DE</w:t>
      </w:r>
    </w:p>
    <w:p>
      <w:r>
        <w:rPr>
          <w:b/>
        </w:rPr>
        <w:t xml:space="preserve">Quelle: </w:t>
      </w:r>
      <w:r>
        <w:t>https://mcp.opencaselaw.ch/entscheid/bger_7B_165_2022</w:t>
      </w:r>
    </w:p>
    <w:p>
      <w:r>
        <w:t>FR: TF 7B 165/2022 du 20 juillet 2023</w:t>
      </w:r>
    </w:p>
    <w:p>
      <w:r>
        <w:t>IT: TF 7B 165/2022 del 20 luglio 2023</w:t>
      </w:r>
    </w:p>
    <w:p>
      <w:pPr>
        <w:pStyle w:val="Heading2"/>
      </w:pPr>
      <w:r>
        <w:t>Regeste</w:t>
      </w:r>
    </w:p>
    <w:p>
      <w:r>
        <w:t>Strafverfahren; verdeckte Zwangsmassnahmen</w:t>
      </w:r>
    </w:p>
    <w:p>
      <w:pPr>
        <w:pStyle w:val="Heading2"/>
      </w:pPr>
      <w:r>
        <w:t>Erwägungen</w:t>
      </w:r>
    </w:p>
    <w:p>
      <w:r>
        <w:rPr>
          <w:b/>
        </w:rPr>
        <w:t>E. 1.1</w:t>
      </w:r>
    </w:p>
    <w:p>
      <w:r>
        <w:t>Gegen den angefochtenen Entscheid ist gemäss Art. 78 Abs. 1 BGG die Beschwerde in Strafsachen gegeben. Der angefochtene Entscheid schliesst das Strafverfahren indessen nicht ab. Er stellt einen Zwischenentscheid dar, der weder die Zuständigkeit noch den Ausstand betrifft. Gemäss Art. 93 Abs. 1 lit. a BGG ist er nur dann unmittelbar mit Beschwerde anfechtbar, wenn er einen nicht wieder gutzumachenden Nachteil bewirken kann. Beim drohenden nicht wieder gutzumachenden Nachteil im Sinne dieser Bestimmung muss es sich um einen solchen rechtlicher Natur handeln. Nicht wieder gutzumachend bedeutet, dass er auch mit einem für die beschwerdeführende Person günstigen Endentscheid nicht oder nicht vollständig behoben werden kann. Ein lediglich tatsächlicher Nachteil wie die Verteuerung oder Verlängerung des Verfahrens genügt nicht ( BGE 148 IV 155 E. 1.1; 144 IV 321 E. 2.3; je mit Hinweisen; Urteil 1B_404/2021 vom 19. Oktober 2021 E. 1.3, nicht publ. in: BGE 148 IV 82 ). Woraus sich der nicht wieder gutzumachende Nachteil ergeben soll, ist in der Beschwerdeschrift darzulegen, sofern dies nicht offensichtlich ist ( BGE 141 IV 284 E. 2.3, 289 E. 1.3; Urteil 1B_170/2017 vom 9. Juni 2017 E. 1.3; je mit Hinweisen).</w:t>
      </w:r>
    </w:p>
    <w:p>
      <w:r>
        <w:rPr>
          <w:b/>
        </w:rPr>
        <w:t>E. 1.2</w:t>
      </w:r>
    </w:p>
    <w:p>
      <w:r>
        <w:t>Der Beschwerdeführer äussert sich nicht dazu, ob und inwiefern ihm durch den angefochtenen Entscheid ein nicht wieder gutzumachender Nachteil droht. Damit kommt er seiner Begründungspflicht gemäss Art. 42 Abs. 2 BGG nicht nach. Auf die Beschwerde könnte unter diesen Umständen nur eingetreten werden, wenn der nicht wieder gutzumachende Nachteil offensichtlich wäre (vgl. BGE 141 IV 284 E. 2.3; 289 E. 1.3; Urteil 1B_170/2017 vom 9. Juni 2017 E. 1.3; je mit Hinweisen). Dies trifft hier nicht zu. Der alleinige Umstand, dass ein Beweismittel, dessen Verwertbarkeit der Beschwerdeführer bestreitet, in den Akten bleibt, stellt grundsätzlich keinen Nachteil rechtlicher Natur dar, da der Beschwerdeführer seinen Einwand bis zum Abschluss des Strafverfahrens erneut vorbringen kann. Er kann die Frage der Verwertbarkeit des Beweismittels namentlich dem Sachgericht unterbreiten. Von diesem kann erwartet werden, dass es in der Lage ist, die unzulässigen Beweise von den zulässigen zu unterscheiden und sich bei der Würdigung ausschliesslich auf Letztere zu stützen ( BGE 144 IV 90 E. 1.1.3; 141 IV 289 E. 1.2; je mit Hinweisen). Von dieser Regel bestehen jedoch Ausnahmen. Eine solche liegt insbesondere vor, wenn das Gesetz ausdrücklich die sofortige Rückgabe aus den Akten bzw. Vernichtung rechtswidriger Beweise vorsieht. Ebenso verhält es sich, wenn aufgrund des Gesetzes oder der Umstände des Einzelfalles die Rechtswidrigkeit des Beweismittels ohne Weiteres feststeht. Derartige Umstände können nur angenommen werden, wenn der Betroffene ein besonders gewichtiges rechtlich geschütztes Interesse an der unverzüglichen Feststellung der Unverwertbarkeit des Beweises geltend macht ( BGE 143 IV 387 E. 4.4; 141 IV 289 E. 1.3; je mit Hinweisen). Wie das Bundesgericht in BGE 148 IV 82 E. 5.3.3 und E. 5.4 ausführlich dargelegt hat, ist bei der verdeckten Fahndung gemäss Art. 298a f. StPO ein nicht wieder gutzumachender Nachteil grundsätzlich zu verneinen. Bei der verdeckten Fahndung, wie auch bei der Observation gemäss Art. 282 f. StPO, mangelt es an einer spezifischen Regelung im Gesetz, welche aufzeigt, was mit Beweisen geschieht, die im Rahmen einer unzulässigen verdeckten Fahndung bzw. rechtswidrigen Observation erlangt wurden (anders z.B. bei der verdeckten Ermittlung, vgl. Art. 289 Abs. 6 StPO ). Sowohl bei der verdeckten Fahndung als auch bei der Observation kommen mithin die allgemeinen Bestimmungen über die Verwertung rechtswidrig erlangter Beweise, insbesondere Art. 141 Abs. 2 StPO zur Anwendung. In diesem Zusammenhang verneint die Rechtsprechung grundsätzlich den nicht wieder gutzumachenden Nachteil im Sinne von Art. 93 Abs. 1 lit. a BGG (vgl. zur Observation: Urteile 1B_49/2022 vom 29. August 2022 E. 1; 1B_42/2021 vom 2. Dezember 2021 E. 1; je mit Hinweisen). Weshalb ein nicht wieder gutzumachender Nachteil hier ausnahmsweise zu bejahen sein sollte, legt der Beschwerdeführer, wie erwähnt, nicht dar und ist auch nicht erkennbar. Folglich kann auf die Beschwerde nicht eingetreten werden.</w:t>
      </w:r>
    </w:p>
    <w:p>
      <w:r>
        <w:rPr>
          <w:b/>
        </w:rPr>
        <w:t>E. 2</w:t>
      </w:r>
    </w:p>
    <w:p>
      <w:r>
        <w:t>Bei diesem Ausgang des Verfahrens wird der Beschwerdeführer grundsätzlich kostenpflichtig ( Art. 66 Abs. 1 BGG ). Er ersucht indessen um Gewährung der unentgeltlichen Rechtspflege und Verbeiständung für das Verfahren vor Bundesgericht. Das Gesuch ist jedoch wegen Aussichtslosigkeit abzuweisen (vgl. Art. 64 Abs. 1 und 2 BGG ). Dem Beschwerdeführer sind ausgangsgemäss die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