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162/2023 vom 17. Oktober 2023</w:t>
      </w:r>
    </w:p>
    <w:p>
      <w:r>
        <w:t>Bundesgericht, 2023-10-17, DE</w:t>
      </w:r>
    </w:p>
    <w:p>
      <w:r>
        <w:rPr>
          <w:b/>
        </w:rPr>
        <w:t xml:space="preserve">Quelle: </w:t>
      </w:r>
      <w:r>
        <w:t>https://mcp.opencaselaw.ch/entscheid/bger_7B_162_2023</w:t>
      </w:r>
    </w:p>
    <w:p>
      <w:r>
        <w:t>FR: TF 7B 162/2023 du 17 octobre 2023</w:t>
      </w:r>
    </w:p>
    <w:p>
      <w:r>
        <w:t>IT: TF 7B 162/2023 del 17 ottobre 2023</w:t>
      </w:r>
    </w:p>
    <w:p>
      <w:pPr>
        <w:pStyle w:val="Heading2"/>
      </w:pPr>
      <w:r>
        <w:t>Regeste</w:t>
      </w:r>
    </w:p>
    <w:p>
      <w:r>
        <w:t>Sistierung | Strafprozess</w:t>
      </w:r>
    </w:p>
    <w:p>
      <w:pPr>
        <w:pStyle w:val="Heading2"/>
      </w:pPr>
      <w:r>
        <w:t>Erwägungen</w:t>
      </w:r>
    </w:p>
    <w:p>
      <w:r>
        <w:rPr>
          <w:b/>
        </w:rPr>
        <w:t>E. 1</w:t>
      </w:r>
    </w:p>
    <w:p>
      <w:r>
        <w:t>Das Bundesgericht prüft von Amtes wegen und mit freier Kognition, ob ein Rechtsmittel zulässig ist ( Art. 29 Abs. 1 BGG ; BGE 145 I 121 E. 1; 143 III 140 E. 1; 141 III 395 E. 2.1).</w:t>
      </w:r>
    </w:p>
    <w:p>
      <w:r>
        <w:rPr>
          <w:b/>
        </w:rPr>
        <w:t>E. 1.1</w:t>
      </w:r>
    </w:p>
    <w:p>
      <w:r>
        <w:t>Der angefochtene Entscheid betreffend Sistierung schliesst das Strafverfahren nicht ab. Richtet sich eine Beschwerde gegen einen solchen Entscheid und macht der Beschwerdeführer keine Verletzung des Beschleunigungsgebots (formelle Rechtsverweigerung oder Verweigerung eines Entscheids) geltend, sondern die Verletzung anderer verfassungsmässiger Rechte im Zusammenhang mit der Anwendung des Strafverfahrensrechts, so muss die Eintretensvoraussetzung von Art. 93 Abs. 1 lit. a BGG , d.h. die Möglichkeit eines nicht wieder gutzumachenden Nachteils, erfüllt sein ( BGE 134 IV 43 E. 2; Urteil 1B_264/2017 vom 24. Oktober 2017 E. 1.1 mit Hinweisen). Dabei muss es sich um einen Nachteil rechtlicher Natur handeln, der auch durch einen für die beschwerdeführende Partei günstigen Entscheid in der Zukunft nicht mehr behoben werden kann. Rein tatsächliche Nachteile wie die Verlängerung oder Verteuerung des Verfahrens reichen nicht aus ( BGE 148 IV 155 E. 1.1; 144 III 475 E. 1.2 mit Hinweisen). Es obliegt der beschwerdeführenden Partei darzutun, dass die Voraussetzungen von Art. 93 Abs. 1 BGG erfüllt sind, soweit deren Vorliegen nicht offensichtlich ist ( BGE 144 III 475 E. 1.2; 142 V 26 E. 1.2; 141 III 80 E. 1.2; je mit Hinweisen).</w:t>
      </w:r>
    </w:p>
    <w:p>
      <w:r>
        <w:rPr>
          <w:b/>
        </w:rPr>
        <w:t>E. 1.2</w:t>
      </w:r>
    </w:p>
    <w:p>
      <w:r>
        <w:t>Der Beschwerdeführer macht keine Verletzung des Beschleunigungsgebots, sondern einzig eine Verletzung seines rechtlichen Gehörs geltend. Damit obliegt es ihm, aufzuzeigen, dass die Voraussetzungen von Art. 93 Abs. 1 BGG erfüllt sind. Dem kommt er nicht nach und der nicht wieder gutzumachende Nachteil liegt auch nicht auf der Hand. Damit erweist sich die Beschwerde als unzulässig.</w:t>
      </w:r>
    </w:p>
    <w:p>
      <w:r>
        <w:rPr>
          <w:b/>
        </w:rPr>
        <w:t>E. 2</w:t>
      </w:r>
    </w:p>
    <w:p>
      <w:r>
        <w:t>Auf die Beschwerde wird nicht eingetreten. Bei diesem Verfahrensausgang sind die Gerichtskosten dem Beschwerdeführer aufzuerlegen ( Art. 66 Abs. 1 BGG ). Sein Gesuch um unentgeltliche Rechtspflege ist wegen Aussichtslosigkeit abzuweisen ( Art. 64 Abs. 1 BGG ). Den angespannten finanziellen Verhältnissen des Beschwerdeführers wird bei der Festsetzung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