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7B_159/2026 vom 12. Februar 2026</w:t>
      </w:r>
    </w:p>
    <w:p>
      <w:r>
        <w:t>Bundesgericht, 2026-02-12, FR</w:t>
      </w:r>
    </w:p>
    <w:p>
      <w:r>
        <w:rPr>
          <w:b/>
        </w:rPr>
        <w:t xml:space="preserve">Quelle: </w:t>
      </w:r>
      <w:r>
        <w:t>https://mcp.opencaselaw.ch/entscheid/bger_7B_159_2026</w:t>
      </w:r>
    </w:p>
    <w:p>
      <w:r>
        <w:t>FR: TF 7B_159/2026 du 12 février 2026</w:t>
      </w:r>
    </w:p>
    <w:p>
      <w:r>
        <w:t>IT: TF 7B_159/2026 del 12 febbraio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 connaît de la violation des droits fondamentaux, dont l'interdiction de l'arbitraire, que si ce moyen est invoqué et motivé par le recourant ( art. 106 al. 2 LTF ), c'est-à-dire s'il a été expressément soulevé et exposé de manière claire et détaillée ( ATF 143 IV 500 consid. 1.1). Les critiques de nature appellatoire sont irrecevables (cf. ATF 150 I 50 consid. 3.3.1; ATF 149 IV 231 consid. 2.4; 148 IV 356 consid. 2.1, 409 consid. 2.2; 147 IV 73 consid. 4.1.2).</w:t>
      </w:r>
    </w:p>
    <w:p>
      <w:r>
        <w:rPr>
          <w:b/>
        </w:rPr>
        <w:t>E. 1.2</w:t>
      </w:r>
    </w:p>
    <w:p>
      <w:r>
        <w:t>En l'espèce, la cour cantonale a considéré que la situation personnelle du recourant ne justifiait pas la remise au sens de l' art. 425 CPP des frais de procédure qui avaient été mis à sa charge par jugement rendu le 10 octobre 2022 par le Tribunal correctionnel. Le recourant ne contestait en particulier pas les éléments retenus par le Tribunal correctionnel, lequel avait constaté que sa situation financière laissait apparaître un solde disponible de 622 fr. 30 par mois, soit un montant suffisant pour honorer l'arrangement de paiement convenu avec le Service des contraventions de la République et canton de Genève</w:t>
      </w:r>
    </w:p>
    <w:p>
      <w:r>
        <w:t>(ci-après: le Service des contraventions) l'engageant à rembourser mensuellement un montant de 100 francs. Il alléguait certes des charges supplémentaires. Toutefois, ces charges nouvellement alléguées ne constituaient pas des dépenses indispensables à ses besoins essentiels ainsi qu'à ceux de sa famille. Le recourant ne démontrait en outre pas avoir cherché à augmenter sa capacité de gain, voire à diminuer ses charges, étant précisé qu'il était déjà bénéficiaire de prestations de l'Hospice général au moment du jugement du 10 octobre 2022.</w:t>
      </w:r>
    </w:p>
    <w:p>
      <w:r>
        <w:rPr>
          <w:b/>
        </w:rPr>
        <w:t>E. 1.3</w:t>
      </w:r>
    </w:p>
    <w:p>
      <w:r>
        <w:t>Face à la motivation cantonale, le recourant se plaint d'une violation "du droit fédéral et international", ainsi que d'un établissement manifestement inexact des "frais" et d'une "déloyauté du pouvoir judiciaire" genevois. Il procède à sa propre présentation de sa situation financière et allègue vivre difficilement sa séparation conjugale ainsi que l'attribution de la garde de ses enfants à son épouse. Il soutient en outre que sa situation personnelle l'empêcherait d'augmenter sa capacité de gain et que les charges supplémentaires qu'il avait nouvellement alléguées seraient nécessaires pour pourvoir aux besoins de ses enfants. Il invoque par ailleurs son "droit de vivre dignement".</w:t>
      </w:r>
    </w:p>
    <w:p>
      <w:r>
        <w:t>Ce faisant, le recourant se limite pour l'essentiel à présenter sa situation financière en introduisant divers éléments qui ne ressortent pas de l'arrêt attaqué, sans démontrer en quoi la cour cantonale aurait arbitrairement omis de les retenir. Il n'expose au surplus pas, à satisfaction de droit, en quoi il serait insoutenable de constater qu'il lui resterait un disponible de 622 fr. 30 par mois et que celui-ci serait suffisant pour rembourser mensuellement 100 fr. en mains du Service des contraventions. Il échoue en tout état à démontrer, par une motivation conforme aux exigences en la matière, que l'autorité précédente aurait violé le droit fédéral (soit notamment l' art. 425 CPP et l' art. 9 Cst. ) en rejetant son recours cantonal. Ses allégations de faits nouveaux et la production de pièces nouvelles ne sont par ailleurs pas recevables dans un recours en matière pénale au Tribunal fédéral (cf. art. 99 al. 1 LTF ). Il en va de même de tout grief que le recourant entend tirer d'une violation de ses droits fondamentaux sans le soulever expressément et l'exposer de manière claire et détaillée (cf. consid. 1.1</w:t>
      </w:r>
    </w:p>
    <w:p>
      <w:r>
        <w:t>supra ).</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