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7B_158/2025 vom 20. März 2025</w:t>
      </w:r>
    </w:p>
    <w:p>
      <w:r>
        <w:t>Bundesgericht, 2025-03-20, DE</w:t>
      </w:r>
    </w:p>
    <w:p>
      <w:r>
        <w:rPr>
          <w:b/>
        </w:rPr>
        <w:t xml:space="preserve">Quelle: </w:t>
      </w:r>
      <w:r>
        <w:t>https://mcp.opencaselaw.ch/entscheid/bger_7B_158_2025</w:t>
      </w:r>
    </w:p>
    <w:p>
      <w:r>
        <w:t>FR: TF 7B_158/2025 du 20 mars 2025</w:t>
      </w:r>
    </w:p>
    <w:p>
      <w:r>
        <w:t>IT: TF 7B_158/2025 del 20 marzo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7B_158/2025</w:t>
      </w:r>
    </w:p>
    <w:p>
      <w:r>
        <w:t>Urteil vom 20. März 2025</w:t>
      </w:r>
    </w:p>
    <w:p>
      <w:r>
        <w:t>II. strafrechtliche Abteilung</w:t>
      </w:r>
    </w:p>
    <w:p>
      <w:r>
        <w:t>Besetzung</w:t>
      </w:r>
    </w:p>
    <w:p>
      <w:r>
        <w:t>Bundesrichterin Koch, als Einzelrichterin,</w:t>
      </w:r>
    </w:p>
    <w:p>
      <w:r>
        <w:t>Gerichtsschreiber Clément.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Generalstaatsanwaltschaft des Kantons Bern, Nordring 8, Postfach, 3001 Bern,</w:t>
      </w:r>
    </w:p>
    <w:p>
      <w:r>
        <w:t>Beschwerdegegnerin.</w:t>
      </w:r>
    </w:p>
    <w:p>
      <w:r>
        <w:t>Gegenstand</w:t>
      </w:r>
    </w:p>
    <w:p>
      <w:r>
        <w:t>Nichtanhandnahme; Nichteintreten,</w:t>
      </w:r>
    </w:p>
    <w:p>
      <w:r>
        <w:t>Beschwerde gegen den Beschluss des Obergerichts des Kantons Bern, Beschwerdekammer in Strafsachen, vom 13. Februar 2025 (BK 25 29).</w:t>
      </w:r>
    </w:p>
    <w:p>
      <w:r>
        <w:t>Nach Einsicht</w:t>
      </w:r>
    </w:p>
    <w:p>
      <w:r>
        <w:t>in den Beschluss des Obergerichts des Kantons Bern vom 13. Februar 2025 in der rubrizierten Angelegenheit;</w:t>
      </w:r>
    </w:p>
    <w:p>
      <w:r>
        <w:t>in die vom Beschwerdeführer gegen diesen Entscheid erhobene Beschwerde vom 19. Februar 2025 (Postaufgabe);</w:t>
      </w:r>
    </w:p>
    <w:p>
      <w:r>
        <w:t>in Erwägung,</w:t>
      </w:r>
    </w:p>
    <w:p>
      <w:r>
        <w:t>dass die Beschwerde querulatorisch im Sinne von Art. 42 Abs. 7 BGG ist und demzufolge gestützt auf Art. 108 Abs. 1 lit. c BGG nicht auf sie einzutreten ist;</w:t>
      </w:r>
    </w:p>
    <w:p>
      <w:r>
        <w:t>dass die Gerichtskosten dem Beschwerdeführer aufzuerlegen sind ( Art. 66 Abs. 1 BGG );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500.-- werden dem Beschwerdeführer auferlegt.</w:t>
      </w:r>
    </w:p>
    <w:p>
      <w:r>
        <w:t>3.</w:t>
      </w:r>
    </w:p>
    <w:p>
      <w:r>
        <w:t>Dieses Urteil wird den Parteien und dem Obergericht des Kantons Bern, Beschwerdekammer in Strafsachen, schriftlich mitgeteilt.</w:t>
      </w:r>
    </w:p>
    <w:p>
      <w:r>
        <w:t>Lausanne, 20. März 2025</w:t>
      </w:r>
    </w:p>
    <w:p>
      <w:r>
        <w:t>Im Namen der II. strafrechtlichen Abteilung</w:t>
      </w:r>
    </w:p>
    <w:p>
      <w:r>
        <w:t>des Schweizerischen Bundesgerichts</w:t>
      </w:r>
    </w:p>
    <w:p>
      <w:r>
        <w:t>Die Einzelrichterin: Koch</w:t>
      </w:r>
    </w:p>
    <w:p>
      <w:r>
        <w:t>Der Gerichtsschreiber: Clément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