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7B_157/2023 vom 25. September 2023</w:t>
      </w:r>
    </w:p>
    <w:p>
      <w:r>
        <w:t>Bundesgericht, 2023-09-25, FR</w:t>
      </w:r>
    </w:p>
    <w:p>
      <w:r>
        <w:rPr>
          <w:b/>
        </w:rPr>
        <w:t xml:space="preserve">Quelle: </w:t>
      </w:r>
      <w:r>
        <w:t>https://mcp.opencaselaw.ch/entscheid/bger_7B_157_2023</w:t>
      </w:r>
    </w:p>
    <w:p>
      <w:r>
        <w:t>FR: TF 7B_157/2023 du 25 septembre 2023</w:t>
      </w:r>
    </w:p>
    <w:p>
      <w:r>
        <w:t>IT: TF 7B_157/2023 del 25 settembre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la plainte pénale du 16 novembre 2022 étant tardive, le Ministère public aurait pu rendre une ordonnance de non-entrée en matière sans ordonner d'acte d'enquête (cf. art. 310 al. 1 let. b CPP ). Par surabondance, elle a relevé que, sur la base des résultats de l'enquête, l'ordonnance de non-entrée en matière devait également être confirmée, dès lors que les infractions dénoncées (soit la calomnie et la diffamation) ne pouvaient pas être réalisées (cf. art. 310 al. 1 let. a CPP ).</w:t>
      </w:r>
    </w:p>
    <w:p>
      <w:r>
        <w:rPr>
          <w:b/>
        </w:rPr>
        <w:t>E. 1.3</w:t>
      </w:r>
    </w:p>
    <w:p>
      <w:r>
        <w:t>Face à la motivation cantonale, le recourant - qui conteste pour l'essentiel la tardiveté de sa plainte pénale - ni dit mot, dans son écriture, au sujet de l'appréciation de l'autorité précédente en lien avec l'absence d'éléments constitutifs des infractions dénoncées. Il se limite tout au plus à alléguer que des personnes auraient comploté dans le but de le licencier, en renvoyant à la teneur de pièces produites à l'appui de son recours en matière pénale.</w:t>
      </w:r>
    </w:p>
    <w:p>
      <w:r>
        <w:t>Ce faisant, le recourant ne formule aucune critique topique contre l'un des motifs évoqués par la cour cantonale, lequel fonde, à lui seul, la décision attaquée (cf. art. 310 al. 1 let. a CPP ). Il échoue ainsi à mettre en évidence, par une motivation conforme aux exigences en la matière, en quoi la cour cantonale aurait violé le droit fédéral en rejetant son recours, respectivement en confirmant l'ordonnance de non-entrée en matière du 25 avril 2023.</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