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7B_153/2025 vom 2. April 2025</w:t>
      </w:r>
    </w:p>
    <w:p>
      <w:r>
        <w:t>Bundesgericht, 2025-04-02, DE</w:t>
      </w:r>
    </w:p>
    <w:p>
      <w:r>
        <w:rPr>
          <w:b/>
        </w:rPr>
        <w:t xml:space="preserve">Quelle: </w:t>
      </w:r>
      <w:r>
        <w:t>https://mcp.opencaselaw.ch/entscheid/bger_7B_153_2025</w:t>
      </w:r>
    </w:p>
    <w:p>
      <w:r>
        <w:t>FR: TF 7B_153/2025 du 2 avril 2025</w:t>
      </w:r>
    </w:p>
    <w:p>
      <w:r>
        <w:t>IT: TF 7B_153/2025 del 2 aprile 2025</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Angefochten ist ein kantonal letztinstanzlicher Entscheid in einer Strafsache ( Art. 80 Abs. 1 BGG ), gegen den die Beschwerde in Strafsachen ( Art. 78 BGG ) grundsätzlich offensteht.</w:t>
      </w:r>
    </w:p>
    <w:p>
      <w:r>
        <w:rPr>
          <w:b/>
        </w:rPr>
        <w:t>E. 1.2.1</w:t>
      </w:r>
    </w:p>
    <w:p>
      <w:r>
        <w:t>Art. 81 Abs. 1 lit. b BGG verlangt ein rechtlich geschütztes Interesse an der Aufhebung oder Änderung des angefochtenen Entscheids. Dieses Interesse muss aktuell und praktisch sein. Mit diesem Erfordernis soll sichergestellt werden, dass das Bundesgericht konkrete und nicht bloss theoretische Fragen entscheidet ( BGE 147 IV 2 E. 1.3; 140 IV 74 E. 1.3.1; je mit Hinweisen). Das schutzwürdige Interesse muss nicht nur im Zeitpunkt der Beschwerdeeinreichung, sondern auch noch im Zeitpunkt der Urteilsfällung bestehen. Fällt es im Laufe des Verfahrens dahin, wird die Sache grundsätzlich als erledigt erklärt ( BGE 142 I 135 E. 1.3.1; Urteil 7B_900/2023 vom 26. August 2024 E. 6.2; je mit Hinweisen).</w:t>
      </w:r>
    </w:p>
    <w:p>
      <w:r>
        <w:rPr>
          <w:b/>
        </w:rPr>
        <w:t>E. 1.2.2</w:t>
      </w:r>
    </w:p>
    <w:p>
      <w:r>
        <w:t>Der Beschwerdeführer macht in seinem Hauptantrag zusammengefasst geltend, die Vorinstanz hätte nach dem bundesgerichtlichen Rückweisungsentscheid 6B_356/2022 kein neues Gutachten in Auftrag geben dürfen, sondern auf das bestehende Gutachten von Dr. med. Platz abstellen müssen. Indem sie sich nicht an die Vorgaben des Rückweisungsentscheids halte, begehe sie eine Rechtsverweigerung. Diese Rüge unterbreitete der Beschwerdeführer dem Bundesgericht bereits im Beschwerdeverfahren 7B_879/2024 und es wurde damals festgehalten, dass es dem Beschwerdeführer insoweit an einem rechtlich geschützten Interesse mangelt und deshalb in diesem Punkt auf die Beschwerde nicht einzutreten ist. Der Beschwerdeführer bringt keine Argumente vor, die im vorliegenden Beschwerdeverfahren zu einer anderen Beurteilung führen könnten, weshalb insoweit vollumfänglich auf die nach wie vor zutreffenden Ausführungen im Urteil 7B_879/2024 vom 21. Februar 2025 (E. 1.2.1 f.) zu verweisen ist. Ergänzend ist zudem festzuhalten, dass selbst wenn in diesem Punkt von einem rechtlich geschützten Interesse auszugehen wäre, in der Einholung eines zweiten Fachgutachtens keine Rechtsverweigerung der Vorinstanz zu sehen. Der Beschwerdeführer übersieht in seinen Vorbringen, dass es im pflichtgemässen richterlichen Ermessen steht, ob ein Gericht im Rahmen seiner freien Beweiswürdigung ein zweites Gutachten einholen will (siehe Urteile 6B_356/2022 vom 23. Juni 2023 E. 2.3.2; 6B_256/2021 vom 17. Mai 2021 E. 2.2; je mit Hinweisen). Entgegen den Vorbringen des Beschwerdeführers lässt sich dem Urteil 6B_356/2022 vom 23. Juni 2023 zudem nicht entnehmen, dass die Vorinstanz im Rahmen ihrer Beurteilung einzig auf das Gutachten von Dr. med. Platz abstützen dürfte (a.a.O., E. 2.4.3 ff.). Eine formelle Rechtsverweigerung im Sinne von Art. 29 Abs. 1 BV ist damit nicht auszumachen.</w:t>
      </w:r>
    </w:p>
    <w:p>
      <w:r>
        <w:rPr>
          <w:b/>
        </w:rPr>
        <w:t>E. 1.3.1</w:t>
      </w:r>
    </w:p>
    <w:p>
      <w:r>
        <w:t>In Bezug auf das Eventualbegehren des Beschwerdeführers übersieht er, dass es sich beim angefochtenen Beschluss nicht um einen Entscheid betreffend Ausstand im Sinne von Art. 92 BGG handelt. Im angefochtenen Beschluss wird einzig entschieden, dass Dr. med. Katrin Klein aus dem Gutachtensauftrag entlassen wird und an ihrer Stelle die Gutachter Dr. med. Dieter Stösser und MSc. Monique Umland neu eingesetzt werden. Ein Ausstandsbegehren des Beschwerdeführers gegen diese neu eingesetzten Gutachter ist demgegenüber - anders als dies noch im Verfahren 7B_879/2024 der Fall war - nicht Gegenstand des angefochtenen Beschlusses. Beim angefochtenen Beschluss handelt es sich somit um einen Zwischenentscheid im Sinne von Art. 93 Abs. 1 BGG . Als solcher ist er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1.3.2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7B_233/2024 vom 12. April 2024 E. 1.2).</w:t>
      </w:r>
    </w:p>
    <w:p>
      <w:r>
        <w:rPr>
          <w:b/>
        </w:rPr>
        <w:t>E. 1.3.3</w:t>
      </w:r>
    </w:p>
    <w:p>
      <w:r>
        <w:t>Vorliegend ist nicht ersichtlich, inwiefern dem Beschwerdeführer durch den angefochtenen Beschluss ein nicht wieder gutzumachender Nachteil im vorgenannten Sinn erwachsen soll. Er macht zwar hinsichtlich der neu eingesetzten Sachverständigen sinngemäss Befangenheitsgründe im Sinne von Art. 183 Abs. 3 in Verbindung mit Art. 56 StPO geltend. Solche Gründe gegen eine von der Verfahrensleitung beigezogene sachverständige Person können indes nicht erstmalig vor Bundesgericht vorgetragen werden, sondern wäre ein Ausstandsbegehren im vorliegenden Fall unverzüglich bzw. innert der im angefochtenen Beschluss angesetzten Frist von 10 Tagen (Dispositivziffer) gegenüber der Verfahrensleitung ( Art. 58 Abs. 1 StPO ) geltend zu machen gewesen, was der Rechtsvertretung des Beschwerdeführers bekannt sein muss. Ob dies nebst der vorliegenden Beschwerde geschehen ist, ergibt sich aus den Vorbringen des Beschwerdeführers und den beigezogenen Akten nicht. Unabhängig davon wäre es dem anwaltlich doppelt vertretenen Beschwerdeführer damit offen gestanden, die vor Bundesgericht gerügten Ausstandsgründe gegenüber der Verfahrensleitung geltend zu machen. Im Falle eine Gutheissung der Ausstandsbegehren wäre der vom Beschwerdeführer vorliegend geltend gemachte nicht wieder gutzumachende Rechtsnachteil beseitigt. Die vom Beschwerdeführer aufgrund des angefochtenen Beschlusses geltend gemachten drohenden Rechtsnachteile aufgrund von Befangenheitsgründen der eingesetzten Sachverständigen könnten demnach durch für ihn günstige spätere Entscheide behoben werden. Ein nicht wieder gutzumachender Nachteil im Sinne von Art. 93 Abs. 1 lit. a BGG ist deshalb zu verneinen.</w:t>
      </w:r>
    </w:p>
    <w:p>
      <w:r>
        <w:rPr>
          <w:b/>
        </w:rPr>
        <w:t>E. 1.3.4</w:t>
      </w:r>
    </w:p>
    <w:p>
      <w:r>
        <w:t>Kein nicht wieder gutzumachender Nachteil vermag der Beschwerdeführer sodann darzutun, wenn er geltend macht, aufgrund des angefochtenen Beschlusses drohe eine Verletzung von verschiedenen völkerrechtlichen Garantien (insbesondere ein Verstoss gegen Art. 3 EMRK ). Im angefochtenen Beschluss wird einerseits noch gar nicht abschliessend darüber entschieden, ob die neu ernannten Gutachter tatsächlich auch mit der Begutachtung des Beschwerdeführers beauftragt werden. Vielmehr stand es dem anwaltlich mehrfach vertretenen Beschwerdeführer offen, innert 10 Tagen alle mögliche Einwände gegen die eingesetzten Sachverständigen zu erheben und könnte er - sofern er Ausstandsgründe geltend gemacht hat - gegen einen allenfalls nicht in seinem Sinne ausgefallenen Ausstandsentscheid den ordentlichen Rechtsmittelweg beschreiten. Andererseits werden die eingesetzten Gutachter gar nicht die rein rechtliche Frage beantworten müssen, ob aufgrund der gegebenen Sachumstände die in der Sache strittige 13-tägige vollständige Zwangsfixierung des Beschwerdeführers gegen die Garantien der EMRK verstossen hat. Diese Aufgabe obliegt dem erkennenden Sachgericht ( BGE 141 IV 369 E. 6.1; 136 II 539 E. 3.2; Urteile 7B_879/2024 vom 21. Februar 2025 E. 2.4; 6B_1037/2023 vom 5. Juni 2024 E. 3.3, nicht publ. in: BGE 150 IV 384 ).</w:t>
      </w:r>
    </w:p>
    <w:p>
      <w:r>
        <w:rPr>
          <w:b/>
        </w:rPr>
        <w:t>E. 1.4</w:t>
      </w:r>
    </w:p>
    <w:p>
      <w:r>
        <w:t>Der Vollständigkeit halber gilt es schliesslich festzuhalten, dass die Beschwerde in Bezug auf den subeventualiter gestellten Verfahrensantrag durch das Urteil 7B_879/2024 vom 21. Februar 2025 gegenstandslos geworden ist.</w:t>
      </w:r>
    </w:p>
    <w:p>
      <w:r>
        <w:rPr>
          <w:b/>
        </w:rPr>
        <w:t>E. 2</w:t>
      </w:r>
    </w:p>
    <w:p>
      <w:r>
        <w:t>Auf die Beschwerde ist aus den genannten Gründen nicht einzutreten, soweit sie nicht gegenstandslos geworden ist. Angesichts der Tatsache, dass bereits die Sachurteilsvoraussetzungen nicht erfüllt sind, muss die Beschwerde als aussichtslos bezeichnet werden. Damit ist das Gesuch um unentgeltliche Rechtspflege abzuweisen ( Art. 64 Abs. 1 BGG ) und wird der Beschwerdeführer kostenpflichtig ( Art. 66 Abs. 1 BGG ). Der finanziellen Lage des Beschwerdeführers wird bei der Bemessung der Gerichtskosten Rechnung getragen ( Art. 65 Abs. 2 BGG ). Die drei Beschuldigten wurden vor Bundesgericht nicht zur Vernehmlassung eingeladen, womit ihnen kein Anspruch auf Entschädigung im Sinne von Art. 68 Abs. 2 BGG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