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7B_149/2025 vom 25. April 2025</w:t>
      </w:r>
    </w:p>
    <w:p>
      <w:r>
        <w:t>Bundesgericht, 2025-04-25, DE</w:t>
      </w:r>
    </w:p>
    <w:p>
      <w:r>
        <w:rPr>
          <w:b/>
        </w:rPr>
        <w:t xml:space="preserve">Quelle: </w:t>
      </w:r>
      <w:r>
        <w:t>https://mcp.opencaselaw.ch/entscheid/bger_7B_149_2025</w:t>
      </w:r>
    </w:p>
    <w:p>
      <w:r>
        <w:t>FR: TF 7B_149/2025 du 25 avril 2025</w:t>
      </w:r>
    </w:p>
    <w:p>
      <w:r>
        <w:t>IT: TF 7B_149/2025 del 25 aprile 2025</w:t>
      </w:r>
    </w:p>
    <w:p>
      <w:pPr>
        <w:pStyle w:val="Heading2"/>
      </w:pPr>
      <w:r>
        <w:t>Erwägungen</w:t>
      </w:r>
    </w:p>
    <w:p>
      <w:r>
        <w:rPr>
          <w:b/>
        </w:rPr>
        <w:t>E. 1</w:t>
      </w:r>
    </w:p>
    <w:p>
      <w:r>
        <w:t>Das Untersuchungsamt St. Gallen führt eine Strafuntersuchung gegen A.________ wegen Sachbeschädigung. Er wird verdächtigt, am 28. August 2024 mit einem Bagger auf dem Grundstück am U.________weg xx in V.________ eine Stützmauer und mehrere Sträucher beschädigt zu haben. Zudem habe er einen metallenen Gartenzaun auf dem Grundstück U.________weg xx in V.________ beschädigt. Zwischen dem 9. September 2024 und 9. Oktober 2024 soll A.________ auf den genannten Grundstücken weitere Sachbeschädigungen begangen haben. Hintergrund des Konflikts soll ein Streit um ein Nutzungsrecht in Bezug auf einen Weg sein, der zwischen den genannten Grundstücken verläuft. Im Rahmen der Strafuntersuchung wurde A.________ am 5. September 2024 polizeilich einvernommen. Dabei habe er ausgesagt bzw. beantragt, das Strafverfahren sei "wegen Befangenheit der Staatsanwaltschaft St. Gallen an den Strafgerichtshof Bellinzona" weiterzuleiten. Mit Entscheid vom 9. Januar 2025 trat die Anklagekammer des Kantons St. Gallen auf das Ausstandsgesuch gegen die Staatsanwaltschaft des Kantons St. Gallen nicht ein.</w:t>
      </w:r>
    </w:p>
    <w:p>
      <w:r>
        <w:rPr>
          <w:b/>
        </w:rPr>
        <w:t>E. 2</w:t>
      </w:r>
    </w:p>
    <w:p>
      <w:r>
        <w:t>Mit Eingabe vom 15. Februar 2025 führt A.________ Beschwerde in Strafsachen gegen den Entscheid der Anklagekammer des Kantons St. Gallen vom 9. Januar 2025.</w:t>
      </w:r>
    </w:p>
    <w:p>
      <w:r>
        <w:t>Das Bundesgericht hat die kantonalen Akten beigezogen. Vernehmlassungen wurden keine eingeholt.</w:t>
      </w:r>
    </w:p>
    <w:p>
      <w:r>
        <w:rPr>
          <w:b/>
        </w:rPr>
        <w:t>E. 3</w:t>
      </w:r>
    </w:p>
    <w:p>
      <w:r>
        <w:t>Die Beschwerde an das Bundesgericht ist nur im Rahmen des Streitgegenstandes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bilden, ob die Vorinstanz auf das Ausstandsgesuch des Beschwerdeführers gegen die Staatsanwaltschaft des Kantons St. Gallen zu Recht nicht eingetreten ist. Auf alle Verfahrensanträge und Rügen, die darüber hinausgehen, ist somit nicht einzutreten.</w:t>
      </w:r>
    </w:p>
    <w:p>
      <w:r>
        <w:rPr>
          <w:b/>
        </w:rPr>
        <w:t>E. 4</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Die Vorinstanz legt in Auseinandersetzung mit der bundesgerichtlichen Rechtsprechung zum Normgehalt von Art. 56 StPO detailliert dar, dass und weshalb ein pauschal gegen eine gesamte Strafbehörde gerichtetes Ausstandsgesuch unzulässig ist. Mit den entsprechenden Erwägungen setzt sich der Beschwerdeführer nicht ansatzweise auseinander. Stattdessen negiert er die ihm vorgeworfenen Strafvorwürfe, indem er den Sachverhalt aus seiner Sichtweise schildert und in abstrakter Weise Gesetzes- und Verfassungsbestimmungen zitiert. Solche appellatorische Kritik genügt den dargelegten Begründungsanforderungen offensichtlich nicht. Soweit der Beschwerdeführer geltend macht, er habe zu keinem Zeitpunkt ein Ausstandsbegehren gestellt, zeigen die beigezogenen Vorakten, dass er in Übereinstimmung mit den Feststellungen der Vorinstanz anlässlich seiner polizeilichen Einvernahme am 5. September 2024 sehr wohl die Befangenheit der Staatsanwaltschaft des Kantons St. Gallen geltend machte und deshalb die Weiterleitung des Verfahrens an eine andere Strafverfolgungsbehörde beantragte.</w:t>
      </w:r>
    </w:p>
    <w:p>
      <w:r>
        <w:rPr>
          <w:b/>
        </w:rPr>
        <w:t>E. 6</w:t>
      </w:r>
    </w:p>
    <w:p>
      <w:r>
        <w:t>Zusammengefasst erweist sich die Beschwerde als offensichtlich unbegründet. Darauf ist im vereinfachten Verfahren nach Art. 108 Abs. 1 lit. b BGG nicht einzutreten. Das Gesuch um unentgeltliche Rechtspflege des Beschwerdeführers ist wegen Aussichtslosigkeit abzuweisen ( Art. 64 Abs. 1 BGG ). Zudem hat er seine angebliche Bedürftigkeit trotz bundesgerichtlicher Aufforderung nicht belegt. Damit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