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149/2024 vom 17. Februar 2025</w:t>
      </w:r>
    </w:p>
    <w:p>
      <w:r>
        <w:t>Bundesgericht, 2025-02-17, FR</w:t>
      </w:r>
    </w:p>
    <w:p>
      <w:r>
        <w:rPr>
          <w:b/>
        </w:rPr>
        <w:t xml:space="preserve">Quelle: </w:t>
      </w:r>
      <w:r>
        <w:t>https://mcp.opencaselaw.ch/entscheid/bger_7B_149_2024</w:t>
      </w:r>
    </w:p>
    <w:p>
      <w:r>
        <w:t>FR: TF 7B 149/2024 du 17 février 2025</w:t>
      </w:r>
    </w:p>
    <w:p>
      <w:r>
        <w:t>IT: TF 7B 149/2024 del 17 febbraio 2025</w:t>
      </w:r>
    </w:p>
    <w:p>
      <w:pPr>
        <w:pStyle w:val="Heading2"/>
      </w:pPr>
      <w:r>
        <w:t>Regeste</w:t>
      </w:r>
    </w:p>
    <w:p>
      <w:r>
        <w:t>Ordonnance de non-entrée en matière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L'arrêt querellé est une décision finale (cf. art. 90 LTF ), qui a été rendue, dans une cause pénale, par une autorité cantonale de dernière instance (cf. art. 80 al. 1 LTF ). Il est donc susceptible de faire l'objet d'un recours en matière pénale (cf. art. 78 ss LTF ; arrêt 7B_373/2024 du 8 janvier 2025 consid. 1.2), lequel a été déposé en temps utile (cf. art. 100 al. 1 LTF ).</w:t>
      </w:r>
    </w:p>
    <w:p>
      <w:r>
        <w:rPr>
          <w:b/>
        </w:rPr>
        <w:t>E. 2.1</w:t>
      </w:r>
    </w:p>
    <w:p>
      <w:r>
        <w:t>L'art. 81 al. 1 let. b ch. 5 LTF subordonne la qualité pour recourir de la partie plaignante notamment à la condition que la décision attaquée puisse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et l'arrêt cité), à l'exclusion de toute prétention de nature purement contractuelle ( ATF 148 IV 432 consid. 3.3). 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7B_75/2023 du 10 décembre 2024 consid. 1.3.3 et l'arrêt cité). Le Tribunal fédéral pose des exigences strictes de motivation de la qualité pour recourir (cf. art. 42 al. 1 LTF ; ATF 141 IV 1 consid. 1.1).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7B_75/2023 du 10 décembre 2024 consid. 1.3.3).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et les arrêts cités). Il peut en aller ainsi en cas d'infraction portant directement atteinte à l'intégrité physique, psychique ou sexuelle, dont la gravité apparaît telle qu'elle ouvrirait incontestablement le droit à des dommages-intérêts ou à une indemnité pour tort moral (arrêts 7B_75/2023 du 10 décembre 2024 consid. 1.3.3; 7B_901/2023 du 11 novembre 2024 consid. 1.3.1 et l'arrêt cité).</w:t>
      </w:r>
    </w:p>
    <w:p>
      <w:r>
        <w:rPr>
          <w:b/>
        </w:rPr>
        <w:t>E. 2.2.1</w:t>
      </w:r>
    </w:p>
    <w:p>
      <w:r>
        <w:t>Vu les circonstances de l'espèce (contrainte, subsidiairement tentative de contrainte, en raison de la notification d'un commandement de payer à la suite d'un litige, relatif au montant du fermage d'un rural, qui oppose deux associés), on ne se trouve manifestement pas dans un cas où la nature de l'infraction en cause, respectivement la gravité de l'atteinte dénoncée, permettrait d'emblée d'envisager un droit à des dommages-intérêts ou à l'allocation d'une indemnité pour tort moral. Il appartenait en conséquence au recourant d'étayer, de manière suffisante, sa qualité pour recourir au sens de l'art. 81 al. 1 let. b ch. 5 LTF, ce qu'il ne fait pas.</w:t>
      </w:r>
    </w:p>
    <w:p>
      <w:r>
        <w:rPr>
          <w:b/>
        </w:rPr>
        <w:t>E. 2.2.2</w:t>
      </w:r>
    </w:p>
    <w:p>
      <w:r>
        <w:t>En effet, pour ce faire, le recourant se limite à indiquer les éventuelles conséquences, notamment financières, pouvant découler d'une poursuite, sans apporter le moindre élément qui permettrait de considérer que tel pourrait avoir été le cas en ce qui le concerne personnellement. Il n'expose en particulier pas quels auraient été les frais subis en lien avec le refus d'un prêt, avec un gel de ses lignes de crédit ou à la suite d'un défaut de paiement d'une facture en temps utile (cf. ch. 11 p. 3 du recours). Le recourant n'invoque en tout état de cause aucun montant chiffré eu égard à des tels postes, ce qui ne permet pas de comprendre quelle pourrait être la prétention en dommages-intérêts à faire valoir par adhésion à la procédure pénale.</w:t>
      </w:r>
    </w:p>
    <w:p>
      <w:r>
        <w:rPr>
          <w:b/>
        </w:rPr>
        <w:t>E. 2.2.3</w:t>
      </w:r>
    </w:p>
    <w:p>
      <w:r>
        <w:t>Quant à l'indemnité pour tort moral évoquée, estimée par le recourant à 10'000 fr., on rappellera que, selon la jurisprudence, l'allocation d'une telle indemnité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arrêts 6B_903/2023 du 2 avril 2024 consid. 3.1; 6B_1277/2021 du 9 mars 2023 consid. 1.4; 6B_1023/2021 du 30 janvier 2023 consid. 2.2). Le seul fait d'invoquer, sans l'étayer notamment par pièces, du "stress", de "l'angoisse" et une "pression" (cf. ch. 10 et 11 in fine p. 3 du recours) ne saurait suffire à démontrer dans les circonstances de l'espèce - liées à un litige avant tout financier - la gravité, sur un plan objectif, de l'atteinte psychique prétendument ressentie par le recourant. Ce dernier, qui utilise d'ailleurs également les termes "chicanier" et "inconfort", ne soutient en particulier pas que la "pression" particulière subie découlerait du montant figurant sur le commandement de payer ou de la personnalité à qui il est opposé (pour un exemple a contrario arrêt 6B_1188/2017 du 5 juin 2018 consid. 1.3). L'hypothèse d'une importante atteinte paraît d'autant moins avérée qu'on ne saurait ignorer l'enchaînement, pour le moins rapide, des événements, à savoir une opposition "de suite" au commandement de payer qui a été notifié au recourant (14 février 2023), des pourparlers immédiats à ce propos avec l'avocat de l'intimé dont il n'est pas établi qu'ils aient abouti (dès le 15 février 2023) et finalement le dépôt d'une plainte pénale en lien avec le commandement de payer (29 mars 2023).</w:t>
      </w:r>
    </w:p>
    <w:p>
      <w:r>
        <w:rPr>
          <w:b/>
        </w:rPr>
        <w:t>E. 3</w:t>
      </w:r>
    </w:p>
    <w:p>
      <w:r>
        <w:t>L'hypothèse visée à l'art. 81 al. 1 let. b ch. 6 LTF n'entre pas en considération dans le présent cas, le recourant ne soulevant aucun grief quant à son droit de porter plainte. Il ne se prévaut pas non plus d'une violation de ses droits de partie pour établir la recevabilité de son recours, étant rappelé que, par ce biais, il ne saurait en effet faire valoir, même indirectement, des moyens qui ne peuvent pas être séparés du fond (cf. l'absence illicite d'instruction invoquée [let. A p. 5 s. du recours]; ATF 146 IV 76 consid. 2; arrêt 7B_8/2024 du 14 janvier 2025 consid. 4.3.1).</w:t>
      </w:r>
    </w:p>
    <w:p>
      <w:r>
        <w:rPr>
          <w:b/>
        </w:rPr>
        <w:t>E. 4</w:t>
      </w:r>
    </w:p>
    <w:p>
      <w:r>
        <w:t>Il s'ensuit que le recours doit être déclaré irrecevable. Le recourant, qui succombe, supportera les frais judiciaires (cf. art. 66 al. 1 LTF ). En l'absence d'échange d'écritures,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