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7B_148/2026 vom 17. März 2026</w:t>
      </w:r>
    </w:p>
    <w:p>
      <w:r>
        <w:t>Bundesgericht, 2026-03-17, DE</w:t>
      </w:r>
    </w:p>
    <w:p>
      <w:r>
        <w:rPr>
          <w:b/>
        </w:rPr>
        <w:t xml:space="preserve">Quelle: </w:t>
      </w:r>
      <w:r>
        <w:t>https://mcp.opencaselaw.ch/entscheid/bger_7B_148_2026</w:t>
      </w:r>
    </w:p>
    <w:p>
      <w:r>
        <w:t>FR: TF 7B_148/2026 du 17 mars 2026</w:t>
      </w:r>
    </w:p>
    <w:p>
      <w:r>
        <w:t>IT: TF 7B_148/2026 del 17 marzo 2026</w:t>
      </w:r>
    </w:p>
    <w:p>
      <w:pPr>
        <w:pStyle w:val="Heading2"/>
      </w:pPr>
      <w:r>
        <w:t>Erwägungen</w:t>
      </w:r>
    </w:p>
    <w:p>
      <w:r>
        <w:rPr>
          <w:b/>
        </w:rPr>
        <w:t>E. 1</w:t>
      </w:r>
    </w:p>
    <w:p>
      <w:r>
        <w:t>Mit Beschluss vom 14. Januar 2026 wies das Obergericht des Kantons Zürich die Beschwerde der Beschwerdeführerin gegen die Nichtanhandnahmeverfügung der Staatsanwaltschaft Winterthur/ Unterland vom 2. Juli 2025 ab, soweit es darauf eintrat. Die Beschwerdeführerin gelangte dagegen mit Beschwerde in Strafsachen vom 4. Februar 2026 (Postaufgabe) an das Bundesgericht.</w:t>
      </w:r>
    </w:p>
    <w:p>
      <w:r>
        <w:rPr>
          <w:b/>
        </w:rPr>
        <w:t>E. 2</w:t>
      </w:r>
    </w:p>
    <w:p>
      <w:r>
        <w:t>Die Beschwerdeführerin beantragt "die Durchführung einer öffentlichen Parteiverhandlung". Für eine mündliche Parteiverhandlung gemäss Art. 57 BGG , die nur ausnahmsweise angeordnet wird, besteht indessen kein Anlass. Die Sache ist auch ohne Anhörung spruchreif.</w:t>
      </w:r>
    </w:p>
    <w:p>
      <w:r>
        <w:rPr>
          <w:b/>
        </w:rPr>
        <w:t>E. 3</w:t>
      </w:r>
    </w:p>
    <w:p>
      <w:r>
        <w:t>Die Eingabe vom 4. Februar 2026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die Beschwerdeführerin zur Beschwerde in Strafsachen legitimieren könnte (Urteile 7B_1201/2024 vom 22. Januar 2025 E. 1.2; 7B_182/2024 vom 26. März 2024 E. 2.1.2; 7B_18/2024 vom 14. März 2024 E. 2; je mit Hinweisen). Formelle Rügen, zu deren Geltendmachung sie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