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146/2022 vom 25. August 2023</w:t>
      </w:r>
    </w:p>
    <w:p>
      <w:r>
        <w:t>Bundesgericht, 2023-08-25, DE</w:t>
      </w:r>
    </w:p>
    <w:p>
      <w:r>
        <w:rPr>
          <w:b/>
        </w:rPr>
        <w:t xml:space="preserve">Quelle: </w:t>
      </w:r>
      <w:r>
        <w:t>https://mcp.opencaselaw.ch/entscheid/bger_7B_146_2022</w:t>
      </w:r>
    </w:p>
    <w:p>
      <w:r>
        <w:t>FR: TF 7B 146/2022 du 25 août 2023</w:t>
      </w:r>
    </w:p>
    <w:p>
      <w:r>
        <w:t>IT: TF 7B 146/2022 del 25 agosto 2023</w:t>
      </w:r>
    </w:p>
    <w:p>
      <w:pPr>
        <w:pStyle w:val="Heading2"/>
      </w:pPr>
      <w:r>
        <w:t>Regeste</w:t>
      </w:r>
    </w:p>
    <w:p>
      <w:r>
        <w:t>Mehrfache ungetreue Geschäftsbesorgung in Bereicherungsabsicht | Straftaten</w:t>
      </w:r>
    </w:p>
    <w:p>
      <w:pPr>
        <w:pStyle w:val="Heading2"/>
      </w:pPr>
      <w:r>
        <w:t>Erwägungen</w:t>
      </w:r>
    </w:p>
    <w:p>
      <w:r>
        <w:rPr>
          <w:b/>
        </w:rPr>
        <w:t>E. 1</w:t>
      </w:r>
    </w:p>
    <w:p>
      <w:r>
        <w:t>Das Bundesgericht hiess mit Urteil vom heutigen Datum die Beschwerden der B.________ AG (Verfahren 7B_142/2022) und der D.________ AG (Verfahren 7B_145/2022) gut, soweit es darauf eintrat, und hob das Urteil des Obergerichts des Kantons Schaffhausen vom 21. Dezember 2021 wegen Verletzung des rechtlichen Gehörs der B.________ AG und der D.________ AG auf. Es hielt fest, dass weder die B.________ AG noch die D.________ AG ausreichend Gelegenheit hatten, vor Erlass eines in ihre Rechtsstellung eingreifenden Einziehungsentscheids sich zur Sache zu äussern und insbesondere ihren Standpunkt betreffend die Vorwürfe gegen A.________ gemäss Anklage-Ziffern A.II.1-3 und A.II.4 wirksam zur Geltung zu bringen. Diese Aufhebung hatte zur Folge, dass auch das vorliegend angefochtene Urteil vom 9. Juli 2021 zwecks Wahrung des rechtlichen Gehörs der B.________ AG und der D.________ AG aufgehoben worden ist, sofern es die Vorwürfe gegen den Beschwerdeführer gemäss Anklage-Ziffern A.II.1-3 und A.II.4 betrifft, und folglich auch sofern es die Strafzumessung und die Gewährung des (teil-) bedingten Strafvollzugs betrifft. Soweit sich die vorliegende Beschwerde des Beschwerdeführers auf die Vorwürfe gemäss Anklage-Ziffern A.II.1-3 und A.II.4, auf die Strafzumessung sowie auf die Gewährung des (teil-) bedingten Strafvollzugs bezieht, ist sie gegenstandslos geworden. Die Vorinstanz wird diese Vorwürfe nach Gewährung des rechtlichen Gehörs der B.________ AG und der D.________ AG erneut zu beurteilen haben. Ebenso wird sie nach dieser Beurteilung die Strafzumessung neu vornehmen und die Frage der Gewährung des (teil-) bedingten Strafvollzugs neu beantworten müssen.</w:t>
      </w:r>
    </w:p>
    <w:p>
      <w:r>
        <w:rPr>
          <w:b/>
        </w:rPr>
        <w:t>E. 2.1</w:t>
      </w:r>
    </w:p>
    <w:p>
      <w:r>
        <w:t>Die gegenstandslos gewordene Beschwerde ist im Verfahren nach Art. 32 Abs. 2 BGG abzuschreiben.</w:t>
      </w:r>
    </w:p>
    <w:p>
      <w:r>
        <w:rPr>
          <w:b/>
        </w:rPr>
        <w:t>E. 2.2</w:t>
      </w:r>
    </w:p>
    <w:p>
      <w:r>
        <w:t>Bei Gegenstandslosigkeit des Verfahrens entscheidet das Bundesgericht mit summarischer Begründung über die Prozesskosten aufgrund der Sachlage vor Eintritt des Erledigungsgrundes ( Art. 71 BGG i.V.m Art. 72 BZP ). Bei der Beurteilung der Kosten- und Entschädigungsfolgen ist somit in erster Linie auf den mutmasslichen Ausgang des Prozesses abzustellen.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(vgl. zum Ganzen: BGE 142 V 551 E. 8.2; Urteil 1B_290/2022 vom 23. November 2022 E. 3 mit Hinweis). Lässt sich der mutmassliche Ausgang eines Verfahrens nicht ohne Weiteres feststellen, ist nach der Rechtsprechung des Bundesgerichts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(Urteile 1B_586/2022 vom 21. Februar 2023 E. 3; 1B_290/2022 vom 23. November 2022 E. 3; je mit Hinweisen).</w:t>
      </w:r>
    </w:p>
    <w:p>
      <w:r>
        <w:rPr>
          <w:b/>
        </w:rPr>
        <w:t>E. 2.3</w:t>
      </w:r>
    </w:p>
    <w:p>
      <w:r>
        <w:t>Nach der hiervor zitierten Rechtsprechung ist für die Regelung der Kosten- und Entschädigungsfolgen nur dann auf den mutmasslichen Ausgang des Verfahrens abzustellen, wenn sich dieser ohne Weiteres feststellen lässt. Dies ist vorliegend nicht der Fall: Die Rügen des Beschwerdeführers bedürften einer eingehenden bundesgerichtlichen Prüfung und Abwägung.</w:t>
      </w:r>
    </w:p>
    <w:p>
      <w:r>
        <w:rPr>
          <w:b/>
        </w:rPr>
        <w:t>E. 2.4</w:t>
      </w:r>
    </w:p>
    <w:p>
      <w:r>
        <w:t>Für die Bestimmung der Kostenfolge ist demnach auf das Verursacherprinzip abzustellen. Vorliegend hat sich die Vorinstanz dazu entschlossen, das Einziehungsverfahren betreffend die beschlagnahmten Grundstücke getrennt vom Strafentscheid gegen den Beschwerdeführer durchzuführen. Die Gründe, die zur Gegenstandslosigkeit des bundesgerichtlichen Verfahrens geführt haben, sind somit durch die Vorinstanz zu verantworten. Nach dem Gesagten sind ihr als Verursacherin die Verfahrenskosten zu überbinden (vgl. Urteil 1B_290/2022 vom 23. November 2022 E. 3.2 mit Hinweis). Die Strafbehörden des Kantons Schaffhausen handelten in ihrem amtlichen Wirkungskreis, weshalb für das bundesgerichtliche Verfahren keine Gerichtskosten zu erheben sind ( Art. 66 Abs. 4 BGG ). Indessen ist der anwaltlich vertretene Beschwerdeführer vom Kanton Schaffhausen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