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7B_1451/2024 vom 20. Mai 2025</w:t>
      </w:r>
    </w:p>
    <w:p>
      <w:r>
        <w:t>Bundesgericht, 2025-05-20, FR</w:t>
      </w:r>
    </w:p>
    <w:p>
      <w:r>
        <w:rPr>
          <w:b/>
        </w:rPr>
        <w:t xml:space="preserve">Quelle: </w:t>
      </w:r>
      <w:r>
        <w:t>https://mcp.opencaselaw.ch/entscheid/bger_7B_1451_2024</w:t>
      </w:r>
    </w:p>
    <w:p>
      <w:r>
        <w:t>FR: TF 7B_1451/2024 du 20 mai 2025</w:t>
      </w:r>
    </w:p>
    <w:p>
      <w:r>
        <w:t>IT: TF 7B_1451/2024 del 20 maggio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1.2</w:t>
      </w:r>
    </w:p>
    <w:p>
      <w:r>
        <w:t>En l'espèce, la cour cantonale a constaté que la recourante n'avait pas versé, dans le délai imparti, les sûretés qu'elle avait été astreinte à fournir par avis de la direction de la procédure du 25 octobre 2024. L'intéressée n'avait pas non plus demandé de prolongation ou de restitution du délai, ni le bénéfice de l'assistance judiciaire ou une dispense d'avance de frais. Partant, l'autorité précédente a déclaré le recours irrecevable en application de l' art. 383 al. 2 CPP . De surcroît, la recourante, qui lui avait adressé un acte de recours non signé, n'avait donné aucune suite au courrier - accompagnant l'avis du 25 octobre 2024 - lui enjoignant de lui retourner, dans le même délai, l'original de son mémoire de recours signé, de sorte que l'acte déposé ne répondait pas aux exigences prévues par l'art. 110 al. 1 et 396 al. 1 CPP et qu'il devait être déclaré irrecevable pour ce second motif également.</w:t>
      </w:r>
    </w:p>
    <w:p>
      <w:r>
        <w:rPr>
          <w:b/>
        </w:rPr>
        <w:t>E. 1.3</w:t>
      </w:r>
    </w:p>
    <w:p>
      <w:r>
        <w:t>Face à la motivation cantonale, la recourante, tout en reconnaissant "le manque de rigueur de [s]a part", se borne à indiquer qu'en raison d'un accident de voiture et des complications post-opératoires, son état de santé aurait "affecté [s]a capacité à respecter les délais et les formalités requises"; elle produit à cet égard deux certificats médicaux dans le but de démontrer "la véracité de [s]es propos". Ce faisant, la recourante échoue toutefois à mettre en évidence, par une motivation conforme aux exigences en la matière, en quoi l'autorité précédente aurait violé le droit (soit en particulier les art. 110 al. 4 et 383 CPP ) en déclarant son recours irrecevable. Au demeurant, il ne ressort pas des certificats médicaux produits - lesquels font globalement état d'un arrêt de travail complet du 1 er septembre 2024 au 28 février 2025 - que son état de santé l'aurait empêchée d'agir dans le délai imparti par avis du 25 octobre 2024. D'ailleurs, selon l'état de fait de l'arrêt attaqué, qui lie la Cour de céans (cf. art. 105 al. 1 LTF ), la recourante avait précédemment indiqué, par courrier du 19 octobre 2024 (soit dans un précédent délai imparti pour indiquer si son acte devait être considéré comme un recours), qu'elle avait omis de signer son recours et qu'elle prenait note du fait qu'une avance de frais lui serait demandée, sans toutefois qu'il y soit fait mention d'un quelconque empêchement d'agir.</w:t>
      </w:r>
    </w:p>
    <w:p>
      <w:r>
        <w:rPr>
          <w:b/>
        </w:rPr>
        <w:t>E. 1.4</w:t>
      </w:r>
    </w:p>
    <w:p>
      <w:r>
        <w:t>Au vu de ce qui précède, le recours ne répond manifestement pas aux exigences de recevabilité d'un recours en matière pénale au Tribunal fédéral. Il doit dès lors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(art. 64 al. 3, 2 e phr., LTF; arrêt 7B_818/2024 du 17 septembre 2024 consid. 4). La recourante,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