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1446/2024 vom 19. Mai 2025</w:t>
      </w:r>
    </w:p>
    <w:p>
      <w:r>
        <w:t>Bundesgericht, 2025-05-19, FR</w:t>
      </w:r>
    </w:p>
    <w:p>
      <w:r>
        <w:rPr>
          <w:b/>
        </w:rPr>
        <w:t xml:space="preserve">Quelle: </w:t>
      </w:r>
      <w:r>
        <w:t>https://mcp.opencaselaw.ch/entscheid/bger_7B_1446_2024</w:t>
      </w:r>
    </w:p>
    <w:p>
      <w:r>
        <w:t>FR: TF 7B 1446/2024 du 19 mai 2025</w:t>
      </w:r>
    </w:p>
    <w:p>
      <w:r>
        <w:t>IT: TF 7B 1446/2024 del 19 maggio 2025</w:t>
      </w:r>
    </w:p>
    <w:p>
      <w:pPr>
        <w:pStyle w:val="Heading2"/>
      </w:pPr>
      <w:r>
        <w:t>Regeste</w:t>
      </w:r>
    </w:p>
    <w:p>
      <w:r>
        <w:t>Ordonnance de non-entrée en matière; irrecevabilité du recours en matière pénale (qualité pour recourir)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w:t>
      </w:r>
    </w:p>
    <w:p>
      <w:r>
        <w:rPr>
          <w:b/>
        </w:rPr>
        <w:t>E. 1.1.3</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7B_566/2023 du 14 mai 2024 consid. 1.2.1; 7B_507/2023 du 20 mars 2024 consid. 1.2.1). En revanche, en matière de délit contre l'honneur, il ne suffit pas d'invoquer une telle infraction pour que l'on puisse automatiquement en déduire l'existence d'un tort moral. N'importe quelle atteinte légère à la réputation professionnelle, économique ou sociale d'une personne ne justifie en effet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7B_857/2024 du 4 octobre 2024 consid. 1.1.3; 7B_705/2023 du 20 novembre 2023 consid. 1.2; 7B_546/2023 du 6 septembre 2023 consid. 1.2).</w:t>
      </w:r>
    </w:p>
    <w:p>
      <w:r>
        <w:rPr>
          <w:b/>
        </w:rPr>
        <w:t>E. 1.1.4</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(arrêt 7B_10/2021 du 26 juillet 2023 consid. 1.1.1 et les références citées).</w:t>
      </w:r>
    </w:p>
    <w:p>
      <w:r>
        <w:rPr>
          <w:b/>
        </w:rPr>
        <w:t>E. 1.2.1</w:t>
      </w:r>
    </w:p>
    <w:p>
      <w:r>
        <w:t>En l'espèce, il ressort de l'arrêt attaqué que le recourant a, le 29 janvier 2024, déposé plainte pénale contre B.________ pour faux témoignage, faux rapport, fausse traduction en justice au sens de l' art. 307 CP . Il reprochait à B.________ - lequel avait été désigné par la Juge déléguée de la Chambre patrimoniale cantonale en qualité d'expert dans le cadre d'une action pécuniaire introduite par le recourant en 2020 à la suite d'un accident de la circulation routière qui l'avait rendu paraplégique - d'avoir déposé un rapport d'expertise "entaché d'erreurs manifestes".</w:t>
      </w:r>
    </w:p>
    <w:p>
      <w:r>
        <w:rPr>
          <w:b/>
        </w:rPr>
        <w:t>E. 1.2.2</w:t>
      </w:r>
    </w:p>
    <w:p>
      <w:r>
        <w:t>S'agissant des prétentions civiles qu'il entend faire valoir, le recourant soutient que "si l'infraction de faux rapport ( art. 307 CP ) est retenue à l'encontre de B.________, son expertise judiciaire devra être retranchée du dossier civil au vu des constatations fausses qui en ressortent" et que, par conséquent "le dommage est non seulement procédural (...), mais également financier". Ses conclusions civiles s'élèveraient ainsi au montant de l'avance de frais de 9'571 fr. 85 qu'il avait versée afin de couvrir les honoraires de l'expert dans la procédure civile (honoraires finalement arrêtés à 12'114 fr. 70). S'y ajouterait une somme de 500 fr. à faire valoir contre l'expert à titre de tort moral. Or l'avance de frais versée dans la procédure civile ne constitue pas des prétentions en réparation du dommage au sens des art. 41 ss CO ; il n'y a en effet précisément pas de dommage, parce que ces frais n'ont pas été définitivement arrêtés par la juridiction civile (ici la Chambre patrimoniale). Pour le surplus, la question de la répartition des frais d'expertise dépendra du sort de la réclamation pécuniaire, laquelle fait l'objet d'un litige civil pendant auprès d'un autre tribunal, de sorte que les prétentions alléguées ne peuvent pas être invoquées dans le procès pénal ( ATF 145 IV 351 consid 4.3; cf. 7B_285/2023 du 26 juillet 2023 consid. 1.2). Ensuite, en tant que le recourant se réfère à la réparation de l"'atteinte à l'honneur" qu'il aurait subie directement au titre des infractions de diffamation et de calomnie qu'il mentionne dans son complément de plainte du 24 juin 2024 - atteinte qui découlerait du fait que le rapport d'expertise le ferait passer pour une personne présentant une version des faits erronée -, il lui aurait notamment appartenu d'exposer, dans son recours en matière pénale, en quoi les actes de la personne mise en cause lui auraient causé une atteinte psychique d'une gravité suffisante pour justifier une réparation de son tort moral, ce qu'il ne fait aucunement. Le recourant ne parvient donc pas à démontrer qu'il dispose de la qualité pour recourir au sens de l'art. 81 al. 1 let. b ch. 5 LTF.</w:t>
      </w:r>
    </w:p>
    <w:p>
      <w:r>
        <w:rPr>
          <w:b/>
        </w:rPr>
        <w:t>E. 1.3</w:t>
      </w:r>
    </w:p>
    <w:p>
      <w:r>
        <w:t>L'hypothèse visée à l'art. 81 al. 1 let. b ch. 6 LTF n'entre pas non plus en considération, le recourant ne soulevant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En l'occurrence, le recourant ne présente pas de grief qui puisse être séparé du fond, de sorte qu'il ne dispose pas non plus de la qualité pour recourir sous cet angle. En particulier, il n'allègue pas un déni de justice en lien avec le fait que l'autorité cantonale n'aurait pas statué sur son complément de plainte du 24 juin 2024. Il est par ailleurs douteux que la Chambre des recours pénale eût été compétente pour statuer sur ce point, dès lors que ce complément de plainte, postérieur à l'ordonnance de non-entrée en matière litigieuse et directement adressé à l'autorité cantonale par courrier du 24 juin 2024, n'a fait l'objet d'aucune décision susceptible de recours cantonal. Quant au grief soulevé par le recourant selon lequel l'autorité précédente aurait violé son droit à un procès équitable, respectivement son droit d'être entendu en lien avec l' art. 307 CP , d'une part, et avec les art. 173 et 174 CP , d'autre part, en omettant notamment de prendre en considération "des allégués et arguments importants pour la décision à rendre", il n'est pas séparable du fond.</w:t>
      </w:r>
    </w:p>
    <w:p>
      <w:r>
        <w:rPr>
          <w:b/>
        </w:rPr>
        <w:t>E. 2</w:t>
      </w:r>
    </w:p>
    <w:p>
      <w:r>
        <w:t>L'irrecevabilité manifeste du recours doit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