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7B_1423/2025 vom 13. Januar 2026</w:t>
      </w:r>
    </w:p>
    <w:p>
      <w:r>
        <w:t>Bundesgericht, 2026-01-13, DE</w:t>
      </w:r>
    </w:p>
    <w:p>
      <w:r>
        <w:rPr>
          <w:b/>
        </w:rPr>
        <w:t xml:space="preserve">Quelle: </w:t>
      </w:r>
      <w:r>
        <w:t>https://mcp.opencaselaw.ch/entscheid/bger_7B_1423_2025</w:t>
      </w:r>
    </w:p>
    <w:p>
      <w:r>
        <w:t>FR: TF 7B_1423/2025 du 13 janvier 2026</w:t>
      </w:r>
    </w:p>
    <w:p>
      <w:r>
        <w:t>IT: TF 7B_1423/2025 del 13 gennaio 2026</w:t>
      </w:r>
    </w:p>
    <w:p>
      <w:pPr>
        <w:pStyle w:val="Heading2"/>
      </w:pPr>
      <w:r>
        <w:t>Erwägungen</w:t>
      </w:r>
    </w:p>
    <w:p>
      <w:r>
        <w:rPr>
          <w:b/>
        </w:rPr>
        <w:t>E. 1</w:t>
      </w:r>
    </w:p>
    <w:p>
      <w:r>
        <w:t>A.________ erhob mit Eingabe vom 29. Dezember 2025 Beschwerde in Strafsachen gegen den Entscheid des Kantonsgerichts St. Gallen, Strafkammer, vom 18. November 2025 betreffend Ausstand.</w:t>
      </w:r>
    </w:p>
    <w:p>
      <w:r>
        <w:rPr>
          <w:b/>
        </w:rPr>
        <w:t>E. 2.1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Die Beschwerde muss sich wenigstens kurz mit den Erwägungen des angefochtenen Entscheids auseinandersetzen; rein appellatorische Kritik reicht nicht aus. Genügt die Beschwerde den Begründungsanforderungen nicht, ist auf sie nicht einzutreten ( BGE 148 IV 356 E. 2.1, 39 E. 2.3.5; 147 IV 73 E. 4.1.2).</w:t>
      </w:r>
    </w:p>
    <w:p>
      <w:r>
        <w:rPr>
          <w:b/>
        </w:rPr>
        <w:t>E. 2.2</w:t>
      </w:r>
    </w:p>
    <w:p>
      <w:r>
        <w:t>Die Vorinstanz ist auf das Ausstandsgesuch des Beschwerdeführers nicht eingetreten. Zur Begründung führte sie aus, es sei kein von ihm angeblich veranlasstes Ermächtigungsverfahren betreffend Eröffnung einer Strafuntersuchung gegen ein Behördenmitglied hängig, weshalb die betroffenen Personen auch nicht befangen sein könnten. Sofern es sich um eine neue Strafklage handle, sei die Strafkammer dafür nicht direkt zuständ ig. Anstatt sich mit diesen Erwägungen sachgerecht und nachvollziehbar auseinanderzusetzen, beschränkt sich der Beschwerdeführer in seiner äusserst weitschweifigen und teilweise schwer verständlichen Beschwerde darauf, seine eigene Sichtweise darzulegen und pauschale Vorwürfe zu erheben. Dabei wirft er den kantonalen Behörden eine "systematische Verweigerung von Grundrechtsgarantien gegenüber Mitarbeiterfamilien in missiogebundenen Dienstverhältnissen" vor und macht eine Befangenheit gestützt auf die "Grundrechtsbindung von Ordinaten" geltend. Mit dieser ausschweifenden und rein appellatorischen Kritik vermag der Beschwerdeführer indessen nicht darzutun, inwiefern die Begründung der Vorinstanz, welche zum Nichteintreten auf das Ausstandsgesuch geführt hat, rechts- oder verfassungswidrig sein soll. Die Beschwerde erfüllt die massgeblichen gesetzlichen Formerfordernisse offensichtlich nicht (vgl. E. 2.1 hiervor). Auf sie ist daher im vereinfachten Verfahren nach Art. 108 Abs. 1 lit. b BGG nicht einzutreten.</w:t>
      </w:r>
    </w:p>
    <w:p>
      <w:r>
        <w:t>Das Gesuch um aufschiebende Wirkung sowie Sistierung wird damit gegenstandslos.</w:t>
      </w:r>
    </w:p>
    <w:p>
      <w:r>
        <w:rPr>
          <w:b/>
        </w:rPr>
        <w:t>E. 3</w:t>
      </w:r>
    </w:p>
    <w:p>
      <w:r>
        <w:t>Das Gesuch des Beschwerdeführers um unentgeltliche Rechtspflege ist abzuweisen, da sich die Beschwerde als aussichtslos erweist ( Art. 64 Abs. 1 BGG ). Die Gerichtskosten sind dem unterliegenden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