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7B_141/2025 vom 11. April 2025</w:t>
      </w:r>
    </w:p>
    <w:p>
      <w:r>
        <w:t>Bundesgericht, 2025-04-11, DE</w:t>
      </w:r>
    </w:p>
    <w:p>
      <w:r>
        <w:rPr>
          <w:b/>
        </w:rPr>
        <w:t xml:space="preserve">Quelle: </w:t>
      </w:r>
      <w:r>
        <w:t>https://mcp.opencaselaw.ch/entscheid/bger_7B_141_2025</w:t>
      </w:r>
    </w:p>
    <w:p>
      <w:r>
        <w:t>FR: TF 7B_141/2025 du 11 avril 2025</w:t>
      </w:r>
    </w:p>
    <w:p>
      <w:r>
        <w:t>IT: TF 7B_141/2025 del 11 aprile 2025</w:t>
      </w:r>
    </w:p>
    <w:p>
      <w:pPr>
        <w:pStyle w:val="Heading2"/>
      </w:pPr>
      <w:r>
        <w:t>Erwägungen</w:t>
      </w:r>
    </w:p>
    <w:p>
      <w:r>
        <w:rPr>
          <w:b/>
        </w:rPr>
        <w:t>E. 1</w:t>
      </w:r>
    </w:p>
    <w:p>
      <w:r>
        <w:t>Mit Verfügung vom 29. Januar 2025 nahm die Regionale Staatsanwaltschaft Emmental-Oberaargau das Verfahren gegen B.________ wegen Rassismus und Nötigung nicht an die Hand. Dagegen reichte A.________ (nachfolgend: der Beschwerdeführer) Beschwerde ein, welche das Obergericht des Kantons Bern mit Beschluss vom 10. Februar 2025 abwies. Der Beschwerdeführer gelangt ans Bundesgericht.</w:t>
      </w:r>
    </w:p>
    <w:p>
      <w:r>
        <w:rPr>
          <w:b/>
        </w:rPr>
        <w:t>E. 2</w:t>
      </w:r>
    </w:p>
    <w:p>
      <w:r>
        <w:t>Der Beschwerdeführer begründete seine kantonale Beschwerde dahingehend, dass er sich aufgrund seines Autismus diskriminiert sowie nicht ernst genommen und vernachlässigt fühle. Weiter sei die Rechtsgleichheit in seinem Fall verletzt worden. Statt eines persönlichen Gesprächs sei direkt eine Anzeige gegen ihn erstattet worden. Die Ablehnung seiner Gegenanzeige gebe ihm das Gefühl, dass er sich aufgrund seines Autismus alles gefallen lassen müsse. Er werde nur aufgrund seines Autismus bestraft, während andere ungeschoren davonkämen. Die Vorinstanz legt im angefochtenen Beschluss ausführlich dar, dass und inwiefern sich die Nichtanhandnahme bezüglich Art. 261bis sowie Art. 181 StGB als rechtens erweise.</w:t>
      </w:r>
    </w:p>
    <w:p>
      <w:r>
        <w:rPr>
          <w:b/>
        </w:rPr>
        <w:t>E. 3.1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machenden Ansprüchen, in erster Linie solche auf Schadenersatz und Genugtuung nach Art. 41 ff. OR ( BGE 146 IV 76 E. 3.1; 141 IV 1 E. 1.1; Urteil 6B_562/2021 vom 7. April 2022 E. 1.1, nicht publ. in: BGE 148 IV 170 ). 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Dabei genügt nicht, dass die Privatklägerschaft lediglich behauptet, von der fraglichen Straftat betroffen zu sein; sie muss vielmehr die Anspruchsvoraussetzungen und namentlich den erlittenen Schaden genau substanziieren und letzteren soweit möglich beziffern.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kann der Fall sein, wenn die Straftat unmittelbar zu einer so starken Beeinträchtigung der körperlichen, psychischen oder sexuellen Integrität geführt hat, dass sich daraus ohne Weiteres ein Anspruch auf Schadenersatz oder Genugtuung ergibt (zum Ganzen: Urteile 7B_182/2024 vom 26. März 2024 E. 2.1.2; 7B_18/2024 vom 14. März 2024 E. 2; je mit Hinweisen; siehe auch Urteile 7B_588/2023 vom 10. Dezember 2024 E. 1.3.1; 7B_566/2023 vom 14. Mai 2024 E. 1.2.1; je mit Hinweisen).</w:t>
      </w:r>
    </w:p>
    <w:p>
      <w:r>
        <w:rPr>
          <w:b/>
        </w:rPr>
        <w:t>E. 3.2</w:t>
      </w:r>
    </w:p>
    <w:p>
      <w:r>
        <w:t>Der Beschwerdeführer äussert sich mit keinem Wort zu seiner Legitimation als Privatkläger im Sinne von Art. 81 Abs. 1 lit. b Ziff. 5 BGG und zur Frage der Zivilforderung. So legt er nicht dar, aus welchen Gründen und inwiefern sich der angefochtene Beschluss auf welchen konkreten Zivilanspruch auswirken sollte. Damit kommt der Beschwerdeführer den Begründungsanforderungen nicht nach.</w:t>
      </w:r>
    </w:p>
    <w:p>
      <w:r>
        <w:rPr>
          <w:b/>
        </w:rPr>
        <w:t>E. 3.3</w:t>
      </w:r>
    </w:p>
    <w:p>
      <w:r>
        <w:t>Unbekümmert um die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nicht auf eine materielle Überprüfung des angefochtenen Entscheides hinauslaufen ( BGE 146 IV 76 E. 2; 141 IV 1 E. 1.1; 138 IV 78 E. 1.3). Solche Rügen erhebt der Beschwerdeführer keine.</w:t>
      </w:r>
    </w:p>
    <w:p>
      <w:r>
        <w:rPr>
          <w:b/>
        </w:rPr>
        <w:t>E. 4</w:t>
      </w:r>
    </w:p>
    <w:p>
      <w:r>
        <w:t>Auf die Beschwerde ist im Verfahren nach Art. 108 BGG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