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7B_1410/2025 vom 12. Februar 2026</w:t>
      </w:r>
    </w:p>
    <w:p>
      <w:r>
        <w:t>Bundesgericht, 2026-02-12, DE</w:t>
      </w:r>
    </w:p>
    <w:p>
      <w:r>
        <w:rPr>
          <w:b/>
        </w:rPr>
        <w:t xml:space="preserve">Quelle: </w:t>
      </w:r>
      <w:r>
        <w:t>https://mcp.opencaselaw.ch/entscheid/bger_7B_1410_2025</w:t>
      </w:r>
    </w:p>
    <w:p>
      <w:r>
        <w:t>FR: TF 7B_1410/2025 du 12 février 2026</w:t>
      </w:r>
    </w:p>
    <w:p>
      <w:r>
        <w:t>IT: TF 7B_1410/2025 del 12 febbraio 2026</w:t>
      </w:r>
    </w:p>
    <w:p>
      <w:pPr>
        <w:pStyle w:val="Heading2"/>
      </w:pPr>
      <w:r>
        <w:t>Erwägungen</w:t>
      </w:r>
    </w:p>
    <w:p>
      <w:r>
        <w:rPr>
          <w:b/>
        </w:rPr>
        <w:t>E. 1</w:t>
      </w:r>
    </w:p>
    <w:p>
      <w:r>
        <w:t>Mit Urteil vom 21. November 2025 trat das Obergericht des Kantons Graubünden nicht auf die Beschwerde des Beschwerdeführers gegen die Nichtanhandnahmeverfügung der Staatsanwaltschaft Graubünden vom 8. April 2025 ein. Der Beschwerdeführer gelangte dagegen mit Beschwerde in Strafsachen vom 23. Dezember 2025 (Postaufgabe) an das Bundesgericht.</w:t>
      </w:r>
    </w:p>
    <w:p>
      <w:r>
        <w:rPr>
          <w:b/>
        </w:rPr>
        <w:t>E. 2</w:t>
      </w:r>
    </w:p>
    <w:p>
      <w:r>
        <w:t>Gegenstand des bundesgerichtlichen Verfahrens ist ausschliesslich das angefochtene Urteil vom 21. November 2025 (vgl. Art. 80 Abs. 1, Art. 90 BGG ). Soweit der Beschwerdeführer mehr verlangt oder thematisiert, als von der Vorinstanz beurteilt wurde, ist darauf von vornherein nicht einzutreten ( BGE 142 I 155 E. 4.4.2; 136 II 457 E. 4.2; 136 V 362 E. 3.4.2). Dies betrifft namentlich die umfangreichen Ausführungen zur Verfügung der Staatsanwaltschaft vom 8. April 2025, mit welcher ein Strafverfahren gegen fünf Richterinnen und Richter des Regionalgerichts Albula, die sich nach Darstellung des Beschwerdeführers in einem Zivilverfahren strafbar gemacht haben sollen, nicht an Hand genommen wurde.</w:t>
      </w:r>
    </w:p>
    <w:p>
      <w:r>
        <w:rPr>
          <w:b/>
        </w:rPr>
        <w:t>E. 3.1</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rPr>
          <w:b/>
        </w:rPr>
        <w:t>E. 3.2</w:t>
      </w:r>
    </w:p>
    <w:p>
      <w:r>
        <w:t>Der Beschwerdeführer geht in seiner Eingabe nicht materiell auf die Erwägungen im angefochtenen Urteil ein. Zum Nichteintretens-entscheid der Vorinstanz hält er einzig fest, dadurch bliebe "ungeklärt, ob das [staatsanwaltschaftliche] Verfahren ordnungsgemäss geführt wurde". Dies ist jedoch nicht Prozessgegenstand (vgl. E. 2 hiervor). Der Beschwerdeführer legt insgesamt nicht ansatzweise dar, inwiefern die Vorinstanz mit dem angefochtenen Entscheid Recht im Sinne von Art. 95 BGG verletzt haben soll, indem sie mangels aufforderungsgemässer Leistung der Sicherheit für allfällige Kosten und Entschädigungen des Verfahrens gemäss Art. 383 Abs. 1 StPO nicht auf seine Beschwerde vom 18. April 2025 eingetreten ist. Der Begründungsmangel ist offensichtlich.</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