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7B_140/2026 vom 19. Februar 2026</w:t>
      </w:r>
    </w:p>
    <w:p>
      <w:r>
        <w:t>Bundesgericht, 2026-02-19, DE</w:t>
      </w:r>
    </w:p>
    <w:p>
      <w:r>
        <w:rPr>
          <w:b/>
        </w:rPr>
        <w:t xml:space="preserve">Quelle: </w:t>
      </w:r>
      <w:r>
        <w:t>https://mcp.opencaselaw.ch/entscheid/bger_7B_140_2026</w:t>
      </w:r>
    </w:p>
    <w:p>
      <w:r>
        <w:t>FR: TF 7B_140/2026 du 19 février 2026</w:t>
      </w:r>
    </w:p>
    <w:p>
      <w:r>
        <w:t>IT: TF 7B_140/2026 del 19 febbraio 2026</w:t>
      </w:r>
    </w:p>
    <w:p>
      <w:pPr>
        <w:pStyle w:val="Heading2"/>
      </w:pPr>
      <w:r>
        <w:t>Erwägungen</w:t>
      </w:r>
    </w:p>
    <w:p>
      <w:r>
        <w:rPr>
          <w:b/>
        </w:rPr>
        <w:t>E. 1</w:t>
      </w:r>
    </w:p>
    <w:p>
      <w:r>
        <w:t>Angefochten ist ein kantonal letztinstanzlicher Entscheid über Ersatzmassnahmen anstelle von strafprozessualer Haft ( Art. 80 BGG i.V.m. Art. 237 StPO ). Dagegen steht die Beschwerde in Strafsachen nach Art. 78 ff. StPO grundsätzlich offen (Urteil 1B_5/2023 vom 23. März 2023 E. 1 mit Hinweisen). Der Beschwerdeführer ist als durch die angeordneten Ersatzmassnahmen direkt in seiner persönlichen Freiheit eingeschränkte Person zur Beschwerdeführung berechtigt ( Art. 81 Abs. 1 lit. a und b BGG ). Die übrigen Sachurteilsvoraussetzungen sind ebenfalls erfüllt. Auf die Beschwerde ist einzutreten.</w:t>
      </w:r>
    </w:p>
    <w:p>
      <w:r>
        <w:rPr>
          <w:b/>
        </w:rPr>
        <w:t>E. 2</w:t>
      </w:r>
    </w:p>
    <w:p>
      <w:r>
        <w:t>Die Beschwerde an das Bundesgericht ist zu begründen ( Art. 42 Abs. 1 BGG ). In der Begründung ist in gedrängter Form darzulegen, inwiefern der angefochtene Akt Recht verletzt ( Art. 42 Abs. 2 BGG ; BGE 143 I 377 E. 1.2). Sie muss sachbezogen sein und erkennen lassen, dass und weshalb nach Auffassung der beschwerdeführenden Partei Recht verletzt ist ( BGE 142 I 99 E. 1.7.1). Die beschwerdeführende Partei soll in der Beschwerdeschrift nicht bloss erneut die Rechtsstandpunkte bekräftigen, die sie im vorinstanzlichen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w:t>
      </w:r>
    </w:p>
    <w:p>
      <w:r>
        <w:t>Untersuchungshaft ist nach Art. 221 Abs. 1 StPO nur zulässig, wenn die beschuldigte Person eines Verbrechens oder Vergehens dringend verdächtig ist und ernsthaft zu befürchten ist, dass sie: a. sich durch Flucht dem Strafverfahren oder der zu erwartenden Sanktion entzieht; b. Personen beeinflusst oder auf Beweismittel einwirkt, um so die Wahrheitsfindung zu beeinträchtigen; oder c. durch Verbrechen oder schwere Vergehen die Sicherheit anderer unmittelbar erheblich gefährdet, nachdem sie bereits früher gleichartige Straftaten verübt hat. Freiheitsentziehende Zwangsmassnahmen dürfen nur als "ultima ratio" angeordnet oder aufrechterhalten werden (vgl. BGE 145 IV 503 E. 3.1; 142 IV 367 E. 2.1; 140 IV 74 E. 2.2). Sie sind aufzuheben, sobald Ersatzmassnahmen zum gleichen Ziel führen ( Art. 212 Abs. 2 lit. c StPO ). An Stelle der Untersuchungshaft ordnet das zuständige Gericht eine oder mehrere mildere Massnahmen an, wenn sie den gleichen Zweck wie die Haft erfüllen ( Art. 237 Abs. 1 StPO ). Ersatzmassnahmen sind namentlich die Ausweis- und Schriftensperre sowie die Auflage, sich regelmässig bei einer Amtsstelle zu melden ( Art. 237 Abs. 2 lit. b und d StPO ). Die Verhängung von Ersatzmassnahmen setzt wie die Anordnung von Untersuchungshaft voraus, dass ein dringender Tatverdacht besteht und ein besonderer Haftgrund vorliegt ( BGE 137 IV 122 E. 2).</w:t>
      </w:r>
    </w:p>
    <w:p>
      <w:r>
        <w:rPr>
          <w:b/>
        </w:rPr>
        <w:t>E. 4</w:t>
      </w:r>
    </w:p>
    <w:p>
      <w:r>
        <w:t>Der Beschwerdeführer bestreitet das Vorliegen des dringenden Tatverdachts nicht, macht jedoch geltend, es liege entgegen der Vorinstanz keine Fluchtgefahr vor. Er rügt zudem eine Verletzung des Grundsatzes von Treu und Glauben.</w:t>
      </w:r>
    </w:p>
    <w:p>
      <w:r>
        <w:rPr>
          <w:b/>
        </w:rPr>
        <w:t>E. 4.1</w:t>
      </w:r>
    </w:p>
    <w:p>
      <w:r>
        <w:t>Die Annahme von Fluchtgefahr als besonderer Haftgrund setzt ernsthafte Anhaltspunkte dafür voraus, dass die beschuldigte Person sich dem Strafverfahren oder der zu erwartenden Sanktion durch Flucht entziehen könnte. Im Vordergrund steht dabei eine mögliche Flucht ins Ausland, denkbar ist jedoch auch ein Untertauchen im Inland. Es müssen Gründe bestehen, die eine Flucht nicht nur als möglich erscheinen lassen, sondern wahrscheinlich machen.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Urteil 7B_40/2026 vom 30. Januar 2026 E. 3.2; je mit Hinweis[en]). Für den Nachweis des Haftgrunds der Fluchtgefahr ist bei Ersatzmassnahmen nach der Rechtsprechung ein weniger strenger Massstab an die erforderliche Intensität anzulegen als bei strafprozessualem Freiheitsentzug (Urteil 1B_5/2023 vom 23. März 2023 E. 2.4 mit Hinweisen).</w:t>
      </w:r>
    </w:p>
    <w:p>
      <w:r>
        <w:rPr>
          <w:b/>
        </w:rPr>
        <w:t>E. 4.2</w:t>
      </w:r>
    </w:p>
    <w:p>
      <w:r>
        <w:t>Die Vorinstanz erwägt, eine obligatorische Landesverweisung im Falle einer Verurteilung des Beschwerdeführers sei nicht hinreichend wahrscheinlich, um "zum jetzigen Zeitpunkt" als entscheidendes Indiz für die Fluchtgefahr herangezogen zu werden. Die Möglichkeit, dass eine solche ausgesprochen werden könnte, sei aber dennoch als fluchtfördernd zu werten. Auch sei seine gesundheitlich angeschlagene, in Spanien lebende Mutter als Indiz für eine Flucht zu werten, während seine Beziehung zur von ihm getrennt, ebenso in Spanien lebenden Ehefrau neutral zu werten sei. Die Beziehungen zum Bruder und zur Partnerin in der Schweiz würden gegen eine Flucht sprechen, wobei sich die Qualität der Beziehungen anhand der Haftakten nicht bewerten lasse, was jedoch auch für die Beziehung zu Mutter und Ehefrau gelte. Der Beschwerdeführer verfüge über die spanische Staatsangehörigkeit, spreche fliessend spanisch und habe knapp 20 Jahre in Spanien gelebt. Dem stehe gegenüber, dass er über eine Niederlassungsbewilligung in der Schweiz verfüge, fliessend und akzentfrei Berndeutsch spreche, in Bern geboren worden sei und seit 2014 wieder hier lebe. Er weise damit relevante Bezüge zu beiden Ländern auf, wobei der Bezug zur Schweiz "sicherlich nicht stark genug" sei, um den Bezug zu Spanien irrelevant erscheinen zu lassen. Somit sei letzterer ebenfalls als Indiz für eine Fluchtgefahr zu werten. Im Ergebnis sei eine "wenn auch niedrige Fluchtgefahr" zu bejahen, weshalb eine Entlassung ohne Auflagen nicht in Betracht komme. Eine Pass- und Schriftensperre sowie eine Meldepflicht reichten aus, um die Fluchtneigung im vorliegenden Fall auf ein hinnehmbares Mass zu senken.</w:t>
      </w:r>
    </w:p>
    <w:p>
      <w:r>
        <w:rPr>
          <w:b/>
        </w:rPr>
        <w:t>E. 4.3</w:t>
      </w:r>
    </w:p>
    <w:p>
      <w:r>
        <w:t>Was der Beschwerdeführer gegen den vorinstanzlichen Entscheid einwendet, verfängt nicht:</w:t>
      </w:r>
    </w:p>
    <w:p>
      <w:r>
        <w:rPr>
          <w:b/>
        </w:rPr>
        <w:t>E. 4.3.1</w:t>
      </w:r>
    </w:p>
    <w:p>
      <w:r>
        <w:t>Er macht vorab geltend, nach dem Entscheid des Zwangsmassnahmengerichts vom 31. Oktober 2025 habe er darauf vertraut und darauf vertrauen dürfen, bei Wegfall von Kollusionsgefahr aus der Untersuchungshaft entlassen zu werden. Indem das Zwangsmassnahmengericht in seinem Entscheid vom 5. Dezember 2025 "plötzlich" das Vorliegen der Fluchtgefahr geprüft habe und nicht mehr weiter auf die Kollusionsgefahr eingegangen sei, sei sein Vertrauen "überraschend verletzt" worden. Zwar trifft zu, dass das Zwangsmassnahmengericht in seinem Haftanordnungsentscheid vom 31. Oktober 2025 das Vorliegen von Kollusionsgefahr bejaht hatte und davon ausgegangen war, sechs Wochen dürften ausreichend sein, um "kollusionssensible Ermittlungen" durchführen zu können. Inwiefern es dem Zwangsmassnahmengericht im anschliessenden Haftverlängerungsverfahren dann aber verwehrt gewesen sein soll, den von der Staatsanwaltschaft angerufenen besonderen Haftgrund der Fluchtgefahr zu prüfen, deren Vorliegen es zuvor noch ausdrücklich offengelassen hatte, ist nicht erkennbar. Die Rüge des Beschwerdeführers, die Strafbehörden hätten gegen den Grundsatz von Treu und Glauben verstossen, ist unbegründet.</w:t>
      </w:r>
    </w:p>
    <w:p>
      <w:r>
        <w:rPr>
          <w:b/>
        </w:rPr>
        <w:t>E. 4.3.2</w:t>
      </w:r>
    </w:p>
    <w:p>
      <w:r>
        <w:t>Soweit der Beschwerdeführer vorbringt, es liege keine Fluchtgefahr vor, begnügt er sich mit der Behauptung, es könne nicht von "tragfähigen sozialen Anknüpfungspunkten in Spanien" ausgegangen werden. Mit der diesbezüglichen Begründung im angefochtenen Entscheid setzt er sich demgegenüber nicht sachgerecht auseinander. Wenn die Vorinstanz in Würdigung der von ihr genannten Umstände von einer - nicht ausgeprägten - Fluchtgefahr ausgeht, ist dies von Bundesrechts wegen nicht zu beanstanden. Dass die angeordneten Ersatzmassnahmen nicht geeignet und geboten wären, um der dargelegten Fluchtneigung entgegenzuwirken, macht der Beschwerdeführer im Übrigen nicht geltend und ist auch nicht ersichtlich.</w:t>
      </w:r>
    </w:p>
    <w:p>
      <w:r>
        <w:rPr>
          <w:b/>
        </w:rPr>
        <w:t>E. 5</w:t>
      </w:r>
    </w:p>
    <w:p>
      <w:r>
        <w:t>Die Beschwerde ist abzuweisen. Bei diesem Ausgang des Verfahrens wäre der unterliegende Beschwerdeführer grundsätzlich kostenpflichtig ( Art. 66 Abs. 1 BGG ). Sein Gesuch um unentgeltliche Rechtspflege ist indes gutzuheissen, da die Voraussetzungen gemäss Art. 64 Abs. 1 BGG erfüllt sind. Entsprechend sind für das bundesgerichtliche Verfahren keine Gerichtskosten zu erheben. Der Rechtsvertreterin des Beschwerdeführers ist eine angemessene Entschädigung aus der Bundesgerichtskasse auszurichten ( Art. 64 Abs. 2 BGG ). Der Beschwerdeführer wird darauf hingewiesen, dass er der Bundesgerichtskasse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