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13/2024 vom 2. April 2024</w:t>
      </w:r>
    </w:p>
    <w:p>
      <w:r>
        <w:t>Bundesgericht, 2024-04-02, DE</w:t>
      </w:r>
    </w:p>
    <w:p>
      <w:r>
        <w:rPr>
          <w:b/>
        </w:rPr>
        <w:t xml:space="preserve">Quelle: </w:t>
      </w:r>
      <w:r>
        <w:t>https://mcp.opencaselaw.ch/entscheid/bger_7B_13_2024</w:t>
      </w:r>
    </w:p>
    <w:p>
      <w:r>
        <w:t>FR: TF 7B 13/2024 du 2 avril 2024</w:t>
      </w:r>
    </w:p>
    <w:p>
      <w:r>
        <w:t>IT: TF 7B 13/2024 del 2 aprile 2024</w:t>
      </w:r>
    </w:p>
    <w:p>
      <w:pPr>
        <w:pStyle w:val="Heading2"/>
      </w:pPr>
      <w:r>
        <w:t>Regeste</w:t>
      </w:r>
    </w:p>
    <w:p>
      <w:r>
        <w:t>Akteneinsicht; Nichteintreten | Strafprozess</w:t>
      </w:r>
    </w:p>
    <w:p>
      <w:pPr>
        <w:pStyle w:val="Heading2"/>
      </w:pPr>
      <w:r>
        <w:t>Erwägungen</w:t>
      </w:r>
    </w:p>
    <w:p>
      <w:r>
        <w:rPr>
          <w:b/>
        </w:rPr>
        <w:t>E. 1</w:t>
      </w:r>
    </w:p>
    <w:p>
      <w:r>
        <w:t>Mit Eingabe vom 26. Dezember 2023 führt A.________ Beschwerde in Strafsachen an das Bundesgericht. Er beantragt Akteneinsicht sowie die Ausfertigung von Kopien. Weiter stellt er einen Antrag auf Genugtuung und Entschädigung</w:t>
      </w:r>
    </w:p>
    <w:p>
      <w:r>
        <w:rPr>
          <w:b/>
        </w:rPr>
        <w:t>E. 2</w:t>
      </w:r>
    </w:p>
    <w:p>
      <w:r>
        <w:t>Das Bundesgericht ist keine oberste Aufsichtsbehörde, die von Amtes wegen oder auf Anzeige eines Bürgers hin in jeder Sache zum Rechten sehen kann. Es kann nur im Rahmen von gesetzlich genau umschriebenen Verfahren Entscheide letzter kantonaler Instanzen und gewisser Bundesbehörden überprüfen ( Art. 80 Abs. 1 BGG ). In einer Beschwerde muss der Beschwerdeführer gemäss Art. 42 Abs. 2 BGG den angefochtenen Entscheid bezeichnen und andererseits darlegen, inwiefern der angefochtene Entscheid Recht verletzt.</w:t>
      </w:r>
    </w:p>
    <w:p>
      <w:r>
        <w:rPr>
          <w:b/>
        </w:rPr>
        <w:t>E. 3</w:t>
      </w:r>
    </w:p>
    <w:p>
      <w:r>
        <w:t>Der Beschwerdeführer legt seiner Beschwerde eine Verfügung des Haftgerichts Solothurn vom 14. Dezember 2023 bei und bemängelt, dass ihm bei der Akteneinsicht keine Kopien von den Verfahrensakten erstellt worden seien, obschon dies im Untersuchungsgefängnis möglich gewesen wäre. Mit der erwähnten Verfügung wurde der Beschwerdeführer informiert, dass er am Freitag, 15. Dezember 2023, voraussichtlich zwischen 13:45 Uhr und 15:45 Uhr im Beisein des zuständigen Haftrichters Einsicht in die Verfahrensakten nehmen kann. Weitergehende Anordnungen wurden keine getroffen. Die vom Beschwerdeführer beigelegte Verfügung stellt keinen nach dem Gesetz anfechtbaren Entscheid dar (vgl. Art. 80 Abs. 1 BGG ). Es ist nicht Sache des Bundesgerichts als erste Instanz zu prüfen, wie die Akteneinsicht ablief, ob eine Verletzung von Art. 102 StPO vorliegt, wie vom Beschwerdeführer behauptet, da die Anfertigung von Kopien verweigert worden sei bzw. ob der Haftrichter arrogant aufgetreten sein soll und die Akteneinsicht "inszeniert worden sei". Damit liegt kein zulässiges Anfechtungsobjekt vor, weshalb auf die Beschwerde nicht eingetreten werden kann. Die Beschwerde erweist sich als offensichtlich unbegründet, weshalb darauf im vereinfachten Verfahren nach Art. 108 Abs. 1 BGG nicht einzutreten ist.</w:t>
      </w:r>
    </w:p>
    <w:p>
      <w:r>
        <w:rPr>
          <w:b/>
        </w:rPr>
        <w:t>E. 4</w:t>
      </w:r>
    </w:p>
    <w:p>
      <w:r>
        <w:t>Bei diesem Verfahrensausgang sind die Gerichtskosten grundsätzlich dem Beschwerdeführer aufzuerlegen ( Art. 66 Abs. 1 BGG ). Sein Gesuch um unentgeltliche Rechtspflege ist wegen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