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7B_1391/2025 vom 2. März 2026</w:t>
      </w:r>
    </w:p>
    <w:p>
      <w:r>
        <w:t>Bundesgericht, 2026-03-02, DE</w:t>
      </w:r>
    </w:p>
    <w:p>
      <w:r>
        <w:rPr>
          <w:b/>
        </w:rPr>
        <w:t xml:space="preserve">Quelle: </w:t>
      </w:r>
      <w:r>
        <w:t>https://mcp.opencaselaw.ch/entscheid/bger_7B_1391_2025</w:t>
      </w:r>
    </w:p>
    <w:p>
      <w:r>
        <w:t>FR: TF 7B_1391/2025 du 2 mars 2026</w:t>
      </w:r>
    </w:p>
    <w:p>
      <w:r>
        <w:t>IT: TF 7B_1391/2025 del 2 marzo 2026</w:t>
      </w:r>
    </w:p>
    <w:p>
      <w:pPr>
        <w:pStyle w:val="Heading2"/>
      </w:pPr>
      <w:r>
        <w:t>Erwägungen</w:t>
      </w:r>
    </w:p>
    <w:p>
      <w:r>
        <w:rPr>
          <w:b/>
        </w:rPr>
        <w:t>E. 1</w:t>
      </w:r>
    </w:p>
    <w:p>
      <w:r>
        <w:t>A.________ (nachfolgend: der Beschwerdeführer) erstattete am 7. Oktober 2025 bei der Kantonalen Staatsanwaltschaft des Kantons Aargau eine Strafanzeige gegen diverse Personen wegen diverser Delikte. Die Staatsanwaltschaft verfügte am 20. Oktober 2025, dass die Strafanzeige nicht an die Hand genommen werde. Dagegen erhob der Beschwerdeführer Beschwerde, wobei er zur Hauptsache die Aufhebung der Nichtanhandnahmeverfügung und die Aufnahme von Ermittlungen durch eine unabhängige Staatsanwaltschaft beantragte. Mit Entscheid vom 26. November 2025 wies das Obergericht des Kantons Aargau die Beschwerde ab, soweit es darauf eintrat.</w:t>
      </w:r>
    </w:p>
    <w:p>
      <w:r>
        <w:t>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die Staatsanwaltschaft habe die umfangreiche Dokumentation des Beschwerdeführers gesichtet und im Zusammenhang mit ihrer Nichtanhandnahmeverfügung auch gewürdigt. Die Rüge des Beschwerdeführers, die Staatsanwaltschaft habe die eingereichten Beweismittel nicht berücksichtigt, sei haltlos. Was den von ihm gehegten Verdacht betreffe, zwischen der B.________ AG in Liquidation und der C.________ AG seien möglicherweise geheime Vergleiche und Absprachen getroffen worden, um Ansprüche von ihm zu umgehen, lege er nicht dar, inwiefern er in seiner Strafanzeige für diesen Vorwurf eine plausible Tatsachengrundlage geliefert haben solle. Betreffend den Vorwurf, D.________ und E.________ hätten gegen Art. 12 lit. d BGFA verstossen, sei auf die Beschwerde ebenso wenig einzutreten, zumal beide den Anwaltsberuf in diesem Sinne nicht ausübten, weshalb sie auch nicht im Anwaltsregister eingetragen seien. Nachdem die Staatsanwaltschaft die vom Beschwerdeführer gegenüber den (natürlichen) Personen der B.________ AG in Liquidation, der C.________ AG und der F.________ AG erhobenen Vorwürfe in strafrechtlicher Hinsicht als eindeutig nicht erfüllt erachtet habe, habe auch keine Veranlassung bestanden, die entsprechenden Vorwürfe im Rahmen von Art. 102 Abs. 1 StGB zu prüfen. Geradezu absurd sei sodann die Behauptung des Beschwerdeführers, dass die fehlende Reaktion der C.________ AG auf seine "formelle" Beschwerde vom 18. September 2025 von strafrechtlicher Relevanz sein bzw. einen hinreichenden Verdacht auf einen Verstoss gegen das BGFA oder das Datenschutzgesetz begründen solle. Schliesslich erschliesse sich nicht und lasse sich mangels konkreter Auseinandersetzung des Beschwerdeführers mit dem Inhalt der Nichtanhandnahmeverfügung auch nicht überprüfen, inwiefern die von der Staatsanwaltschaft detailliert vorgenommene Sachverhaltszusammenfassung seiner Strafanzeige den Kern des Verfahrens verkannt und verzerrt haben solle.</w:t>
      </w:r>
    </w:p>
    <w:p>
      <w:r>
        <w:rPr>
          <w:b/>
        </w:rPr>
        <w:t>E. 3.2</w:t>
      </w:r>
    </w:p>
    <w:p>
      <w:r>
        <w:t>Was am angefochtenen Entscheid in tatsächlicher oder rechtlicher Hinsicht fehlerhaft sein sollte, ergibt sich aus der Beschwerde nicht. So setzt sich der Beschwerdeführer nicht ansatzweise mit den vorinstanzlichen Erwägungen auseinander. Dass und inwiefern die Vorinstanz bei ihren tatsächlichen Feststellungen in Willkür verfallen wäre und/oder beim von ihr festgestellten Sachverhalt gegen das Recht verstossen hätte, legt der Beschwerdeführer nicht dar. Die blosse Anrufung von Gesetzes- und Verfassungsbestimmungen genügt hierfür jedenfalls nicht. Damit vermag er den Begründungsanforderungen vor Bundesgericht nicht nachzukommen. Der Begründungsmangel ist offensichtlich ( Art. 42 Abs. 2, Art. 106 Abs. 2 BGG ).</w:t>
      </w:r>
    </w:p>
    <w:p>
      <w:r>
        <w:rPr>
          <w:b/>
        </w:rPr>
        <w:t>E. 4</w:t>
      </w:r>
    </w:p>
    <w:p>
      <w:r>
        <w:t>Auf die Beschwerde ist im Verfahren nach Art. 108 BGG nicht einzutreten. Damit wird das Gesuch des Beschwerdeführers um "aufschiebende Wirkung" gegenstandslos.</w:t>
      </w:r>
    </w:p>
    <w:p>
      <w:r>
        <w:t>Das vom Beschwerdeführer gestellte Gesuch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